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2A2F4483" w:rsidR="00134F97" w:rsidRPr="00F50326" w:rsidRDefault="00E26C73" w:rsidP="00134F97">
      <w:pPr>
        <w:jc w:val="center"/>
        <w:rPr>
          <w:rFonts w:asciiTheme="minorHAnsi" w:hAnsiTheme="minorHAnsi" w:cstheme="minorHAnsi"/>
          <w:b/>
          <w:snapToGrid w:val="0"/>
          <w:sz w:val="32"/>
          <w:szCs w:val="32"/>
        </w:rPr>
      </w:pPr>
      <w:r w:rsidRPr="00F50326">
        <w:rPr>
          <w:rFonts w:asciiTheme="minorHAnsi" w:hAnsiTheme="minorHAnsi" w:cstheme="minorHAnsi"/>
          <w:b/>
          <w:snapToGrid w:val="0"/>
          <w:sz w:val="32"/>
          <w:szCs w:val="32"/>
        </w:rPr>
        <w:t xml:space="preserve">ADDENDUM </w:t>
      </w:r>
      <w:r w:rsidR="00F831F9" w:rsidRPr="00F50326">
        <w:rPr>
          <w:rFonts w:asciiTheme="minorHAnsi" w:hAnsiTheme="minorHAnsi" w:cstheme="minorHAnsi"/>
          <w:b/>
          <w:snapToGrid w:val="0"/>
          <w:sz w:val="32"/>
          <w:szCs w:val="32"/>
        </w:rPr>
        <w:t>2</w:t>
      </w:r>
    </w:p>
    <w:p w14:paraId="73F4EC34" w14:textId="00EFCAC8"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961284">
        <w:rPr>
          <w:rFonts w:asciiTheme="minorHAnsi" w:hAnsiTheme="minorHAnsi" w:cstheme="minorHAnsi"/>
          <w:b/>
          <w:sz w:val="40"/>
          <w:szCs w:val="40"/>
        </w:rPr>
        <w:t>3</w:t>
      </w:r>
      <w:r w:rsidR="00A01CC8" w:rsidRPr="00CC3CD9">
        <w:rPr>
          <w:rFonts w:asciiTheme="minorHAnsi" w:hAnsiTheme="minorHAnsi" w:cstheme="minorHAnsi"/>
          <w:b/>
          <w:sz w:val="40"/>
          <w:szCs w:val="40"/>
        </w:rPr>
        <w:t>-</w:t>
      </w:r>
      <w:r w:rsidR="00961284">
        <w:rPr>
          <w:rFonts w:asciiTheme="minorHAnsi" w:hAnsiTheme="minorHAnsi" w:cstheme="minorHAnsi"/>
          <w:b/>
          <w:sz w:val="40"/>
          <w:szCs w:val="40"/>
        </w:rPr>
        <w:t>7</w:t>
      </w:r>
      <w:r w:rsidR="00673C7F">
        <w:rPr>
          <w:rFonts w:asciiTheme="minorHAnsi" w:hAnsiTheme="minorHAnsi" w:cstheme="minorHAnsi"/>
          <w:b/>
          <w:sz w:val="40"/>
          <w:szCs w:val="40"/>
        </w:rPr>
        <w:t>5072</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7E2617A4" w14:textId="77777777" w:rsidR="00961284" w:rsidRPr="00575B80" w:rsidRDefault="00961284" w:rsidP="00961284">
      <w:pPr>
        <w:jc w:val="center"/>
        <w:rPr>
          <w:rFonts w:asciiTheme="minorHAnsi" w:hAnsiTheme="minorHAnsi" w:cstheme="minorHAnsi"/>
          <w:b/>
          <w:sz w:val="32"/>
          <w:szCs w:val="32"/>
        </w:rPr>
      </w:pPr>
      <w:r w:rsidRPr="00575B80">
        <w:rPr>
          <w:rFonts w:asciiTheme="minorHAnsi" w:hAnsiTheme="minorHAnsi" w:cstheme="minorHAnsi"/>
          <w:b/>
          <w:sz w:val="32"/>
          <w:szCs w:val="32"/>
        </w:rPr>
        <w:t>Family and Social Services Administration</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5C5E6F4D" w:rsidR="00961284" w:rsidRPr="006B1296" w:rsidRDefault="00673C7F" w:rsidP="00961284">
      <w:pPr>
        <w:jc w:val="center"/>
        <w:rPr>
          <w:rFonts w:asciiTheme="minorHAnsi" w:hAnsiTheme="minorHAnsi" w:cstheme="minorHAnsi"/>
          <w:b/>
          <w:color w:val="FF0000"/>
          <w:sz w:val="36"/>
          <w:szCs w:val="36"/>
        </w:rPr>
      </w:pPr>
      <w:r>
        <w:rPr>
          <w:rFonts w:asciiTheme="minorHAnsi" w:hAnsiTheme="minorHAnsi" w:cstheme="minorHAnsi"/>
          <w:b/>
          <w:color w:val="000000" w:themeColor="text1"/>
          <w:sz w:val="36"/>
          <w:szCs w:val="36"/>
        </w:rPr>
        <w:t>Indiana Pathways for Aging Member Support Services</w:t>
      </w:r>
    </w:p>
    <w:p w14:paraId="2921A536" w14:textId="77777777" w:rsidR="00B33320" w:rsidRPr="00CC3CD9" w:rsidRDefault="00B33320" w:rsidP="00CC3CD9">
      <w:pPr>
        <w:rPr>
          <w:rFonts w:asciiTheme="minorHAnsi" w:hAnsiTheme="minorHAnsi" w:cstheme="minorHAnsi"/>
          <w:b/>
          <w:sz w:val="32"/>
          <w:szCs w:val="32"/>
        </w:rPr>
      </w:pPr>
    </w:p>
    <w:p w14:paraId="40C1DF0A" w14:textId="77777777" w:rsidR="00961284" w:rsidRPr="003E22D1" w:rsidRDefault="00961284" w:rsidP="00961284">
      <w:pPr>
        <w:jc w:val="center"/>
        <w:rPr>
          <w:rFonts w:asciiTheme="minorHAnsi" w:hAnsiTheme="minorHAnsi" w:cstheme="minorHAnsi"/>
          <w:b/>
          <w:color w:val="000000" w:themeColor="text1"/>
          <w:sz w:val="32"/>
          <w:szCs w:val="32"/>
        </w:rPr>
      </w:pPr>
      <w:r w:rsidRPr="3B876543">
        <w:rPr>
          <w:rFonts w:asciiTheme="minorHAnsi" w:hAnsiTheme="minorHAnsi" w:cstheme="minorBidi"/>
          <w:b/>
          <w:bCs/>
          <w:color w:val="000000" w:themeColor="text1"/>
          <w:sz w:val="32"/>
          <w:szCs w:val="32"/>
        </w:rPr>
        <w:t xml:space="preserve">Response Part One, Submission Form Due Date and Time:  </w:t>
      </w:r>
    </w:p>
    <w:p w14:paraId="68964FE2" w14:textId="4B3E547C" w:rsidR="00961284" w:rsidRPr="003E22D1" w:rsidRDefault="00673C7F" w:rsidP="00961284">
      <w:pPr>
        <w:jc w:val="center"/>
        <w:rPr>
          <w:rFonts w:asciiTheme="minorHAnsi" w:hAnsiTheme="minorHAnsi" w:cstheme="minorBidi"/>
          <w:b/>
          <w:bCs/>
          <w:color w:val="000000" w:themeColor="text1"/>
          <w:sz w:val="32"/>
          <w:szCs w:val="32"/>
        </w:rPr>
      </w:pPr>
      <w:r>
        <w:rPr>
          <w:rFonts w:asciiTheme="minorHAnsi" w:hAnsiTheme="minorHAnsi" w:cstheme="minorBidi"/>
          <w:b/>
          <w:bCs/>
          <w:color w:val="000000" w:themeColor="text1"/>
          <w:sz w:val="32"/>
          <w:szCs w:val="32"/>
        </w:rPr>
        <w:t>May 11</w:t>
      </w:r>
      <w:r w:rsidR="00961284" w:rsidRPr="3B876543">
        <w:rPr>
          <w:rFonts w:asciiTheme="minorHAnsi" w:hAnsiTheme="minorHAnsi" w:cstheme="minorBidi"/>
          <w:b/>
          <w:bCs/>
          <w:color w:val="000000" w:themeColor="text1"/>
          <w:sz w:val="32"/>
          <w:szCs w:val="32"/>
        </w:rPr>
        <w:t>, 202</w:t>
      </w:r>
      <w:r>
        <w:rPr>
          <w:rFonts w:asciiTheme="minorHAnsi" w:hAnsiTheme="minorHAnsi" w:cstheme="minorBidi"/>
          <w:b/>
          <w:bCs/>
          <w:color w:val="000000" w:themeColor="text1"/>
          <w:sz w:val="32"/>
          <w:szCs w:val="32"/>
        </w:rPr>
        <w:t>3</w:t>
      </w:r>
      <w:r w:rsidR="00961284" w:rsidRPr="3B876543">
        <w:rPr>
          <w:rFonts w:asciiTheme="minorHAnsi" w:hAnsiTheme="minorHAnsi" w:cstheme="minorBidi"/>
          <w:b/>
          <w:bCs/>
          <w:color w:val="000000" w:themeColor="text1"/>
          <w:sz w:val="32"/>
          <w:szCs w:val="32"/>
        </w:rPr>
        <w:t xml:space="preserve"> @ 3:00 PM ET</w:t>
      </w:r>
    </w:p>
    <w:p w14:paraId="6983755A" w14:textId="77777777" w:rsidR="00961284" w:rsidRPr="003E22D1" w:rsidRDefault="00961284" w:rsidP="00961284">
      <w:pPr>
        <w:jc w:val="center"/>
        <w:rPr>
          <w:rFonts w:asciiTheme="minorHAnsi" w:hAnsiTheme="minorHAnsi" w:cstheme="minorHAnsi"/>
          <w:b/>
          <w:color w:val="000000" w:themeColor="text1"/>
          <w:sz w:val="28"/>
          <w:szCs w:val="28"/>
        </w:rPr>
      </w:pPr>
      <w:r w:rsidRPr="003E22D1">
        <w:rPr>
          <w:rFonts w:asciiTheme="minorHAnsi" w:hAnsiTheme="minorHAnsi" w:cstheme="minorHAnsi"/>
          <w:b/>
          <w:color w:val="000000" w:themeColor="text1"/>
          <w:sz w:val="28"/>
          <w:szCs w:val="28"/>
        </w:rPr>
        <w:t xml:space="preserve">Response Part Two, Submission of Proposals by Flash Drive Due Date and Time:  </w:t>
      </w:r>
    </w:p>
    <w:p w14:paraId="7339FF3E" w14:textId="3C7E6EE8" w:rsidR="00961284" w:rsidRPr="003E22D1" w:rsidRDefault="00673C7F" w:rsidP="00961284">
      <w:pPr>
        <w:jc w:val="center"/>
        <w:rPr>
          <w:rFonts w:asciiTheme="minorHAnsi" w:hAnsiTheme="minorHAnsi" w:cstheme="minorBidi"/>
          <w:b/>
          <w:bCs/>
          <w:color w:val="000000" w:themeColor="text1"/>
          <w:sz w:val="32"/>
          <w:szCs w:val="32"/>
        </w:rPr>
      </w:pPr>
      <w:r>
        <w:rPr>
          <w:rFonts w:asciiTheme="minorHAnsi" w:hAnsiTheme="minorHAnsi" w:cstheme="minorBidi"/>
          <w:b/>
          <w:bCs/>
          <w:color w:val="000000" w:themeColor="text1"/>
          <w:sz w:val="28"/>
          <w:szCs w:val="28"/>
        </w:rPr>
        <w:t>May 16</w:t>
      </w:r>
      <w:r w:rsidR="00961284" w:rsidRPr="3B876543">
        <w:rPr>
          <w:rFonts w:asciiTheme="minorHAnsi" w:hAnsiTheme="minorHAnsi" w:cstheme="minorBidi"/>
          <w:b/>
          <w:bCs/>
          <w:color w:val="000000" w:themeColor="text1"/>
          <w:sz w:val="28"/>
          <w:szCs w:val="28"/>
        </w:rPr>
        <w:t>, 202</w:t>
      </w:r>
      <w:r>
        <w:rPr>
          <w:rFonts w:asciiTheme="minorHAnsi" w:hAnsiTheme="minorHAnsi" w:cstheme="minorBidi"/>
          <w:b/>
          <w:bCs/>
          <w:color w:val="000000" w:themeColor="text1"/>
          <w:sz w:val="28"/>
          <w:szCs w:val="28"/>
        </w:rPr>
        <w:t>3</w:t>
      </w:r>
      <w:r w:rsidR="00961284" w:rsidRPr="3B876543">
        <w:rPr>
          <w:rFonts w:asciiTheme="minorHAnsi" w:hAnsiTheme="minorHAnsi" w:cstheme="minorBidi"/>
          <w:b/>
          <w:bCs/>
          <w:color w:val="000000" w:themeColor="text1"/>
          <w:sz w:val="28"/>
          <w:szCs w:val="28"/>
        </w:rPr>
        <w:t xml:space="preserve"> @ </w:t>
      </w:r>
      <w:r>
        <w:rPr>
          <w:rFonts w:asciiTheme="minorHAnsi" w:hAnsiTheme="minorHAnsi" w:cstheme="minorBidi"/>
          <w:b/>
          <w:bCs/>
          <w:color w:val="000000" w:themeColor="text1"/>
          <w:sz w:val="28"/>
          <w:szCs w:val="28"/>
        </w:rPr>
        <w:t>3:00</w:t>
      </w:r>
      <w:r w:rsidR="00961284" w:rsidRPr="3B876543">
        <w:rPr>
          <w:rFonts w:asciiTheme="minorHAnsi" w:hAnsiTheme="minorHAnsi" w:cstheme="minorBidi"/>
          <w:b/>
          <w:bCs/>
          <w:color w:val="000000" w:themeColor="text1"/>
          <w:sz w:val="28"/>
          <w:szCs w:val="28"/>
        </w:rPr>
        <w:t xml:space="preserve"> PM ET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603AD411" w:rsidR="00CC3CD9" w:rsidRPr="006E68EA" w:rsidRDefault="00CC3CD9" w:rsidP="00CC3CD9">
      <w:pPr>
        <w:jc w:val="right"/>
        <w:rPr>
          <w:rFonts w:asciiTheme="minorHAnsi" w:hAnsiTheme="minorHAnsi" w:cstheme="minorHAnsi"/>
          <w:szCs w:val="24"/>
        </w:rPr>
      </w:pPr>
      <w:r w:rsidRPr="006E68EA">
        <w:rPr>
          <w:rFonts w:asciiTheme="minorHAnsi" w:hAnsiTheme="minorHAnsi" w:cstheme="minorHAnsi"/>
          <w:szCs w:val="24"/>
        </w:rPr>
        <w:t>Teresa Deaton-Reese</w:t>
      </w:r>
      <w:r>
        <w:rPr>
          <w:rFonts w:asciiTheme="minorHAnsi" w:hAnsiTheme="minorHAnsi" w:cstheme="minorHAnsi"/>
          <w:szCs w:val="24"/>
        </w:rPr>
        <w:t xml:space="preserve">, </w:t>
      </w:r>
      <w:r w:rsidR="00673C7F">
        <w:rPr>
          <w:rFonts w:asciiTheme="minorHAnsi" w:hAnsiTheme="minorHAnsi" w:cstheme="minorBidi"/>
        </w:rPr>
        <w:t>Procurement Consultant</w:t>
      </w:r>
    </w:p>
    <w:p w14:paraId="291A407C" w14:textId="77777777" w:rsidR="00CC3CD9" w:rsidRDefault="00000000" w:rsidP="00CC3CD9">
      <w:pPr>
        <w:jc w:val="right"/>
        <w:rPr>
          <w:rFonts w:asciiTheme="minorHAnsi" w:hAnsiTheme="minorHAnsi" w:cstheme="minorHAnsi"/>
          <w:szCs w:val="24"/>
        </w:rPr>
      </w:pPr>
      <w:hyperlink r:id="rId9" w:history="1">
        <w:r w:rsidR="00CC3CD9" w:rsidRPr="00C82795">
          <w:rPr>
            <w:rStyle w:val="Hyperlink"/>
            <w:rFonts w:asciiTheme="minorHAnsi" w:hAnsiTheme="minorHAnsi" w:cstheme="minorHAnsi"/>
            <w:szCs w:val="24"/>
          </w:rPr>
          <w:t>tdeaton@idoa.in.gov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Pr="0096128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12C99AE3" w14:textId="77777777" w:rsidR="008E0B74" w:rsidRPr="00CC3CD9" w:rsidRDefault="008E0B74" w:rsidP="00A01CC8">
      <w:pPr>
        <w:rPr>
          <w:rFonts w:asciiTheme="minorHAnsi" w:hAnsiTheme="minorHAnsi" w:cstheme="minorHAnsi"/>
          <w:b/>
          <w:iCs/>
          <w:sz w:val="30"/>
          <w:szCs w:val="30"/>
        </w:rPr>
      </w:pPr>
    </w:p>
    <w:p w14:paraId="676F2795" w14:textId="5C786BBA" w:rsidR="00183198" w:rsidRPr="00CC3CD9"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lastRenderedPageBreak/>
        <w:t>Summary of Changes</w:t>
      </w:r>
      <w:r w:rsidR="00891AC7" w:rsidRPr="00CC3CD9">
        <w:rPr>
          <w:rFonts w:asciiTheme="minorHAnsi" w:hAnsiTheme="minorHAnsi" w:cstheme="minorHAnsi"/>
          <w:b/>
          <w:iCs/>
          <w:sz w:val="30"/>
          <w:szCs w:val="30"/>
        </w:rPr>
        <w:t xml:space="preserve"> </w:t>
      </w:r>
    </w:p>
    <w:p w14:paraId="00A8DA48" w14:textId="06818A61" w:rsidR="00974A80" w:rsidRPr="00F50326" w:rsidRDefault="00F42EFD" w:rsidP="00F50326">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2FC97883" w14:textId="77777777" w:rsidR="0082420D" w:rsidRDefault="0082420D" w:rsidP="00974A80">
      <w:pPr>
        <w:widowControl/>
        <w:shd w:val="clear" w:color="auto" w:fill="FFFFFF"/>
        <w:spacing w:line="276" w:lineRule="auto"/>
        <w:ind w:left="720" w:right="480"/>
        <w:rPr>
          <w:rFonts w:ascii="Arial" w:eastAsia="Arial" w:hAnsi="Arial" w:cs="Arial"/>
          <w:sz w:val="22"/>
          <w:szCs w:val="22"/>
          <w:lang w:val="en"/>
        </w:rPr>
      </w:pPr>
    </w:p>
    <w:p w14:paraId="5700D2B8" w14:textId="7738FF5C" w:rsidR="00974A80" w:rsidRPr="00F50326" w:rsidRDefault="00974A80" w:rsidP="00F50326">
      <w:pPr>
        <w:pStyle w:val="ListParagraph"/>
        <w:numPr>
          <w:ilvl w:val="0"/>
          <w:numId w:val="47"/>
        </w:numPr>
        <w:rPr>
          <w:rFonts w:asciiTheme="minorHAnsi" w:hAnsiTheme="minorHAnsi" w:cstheme="minorHAnsi"/>
          <w:b/>
          <w:sz w:val="26"/>
          <w:szCs w:val="26"/>
        </w:rPr>
      </w:pPr>
      <w:bookmarkStart w:id="0" w:name="_Hlk132207352"/>
      <w:r w:rsidRPr="00F50326">
        <w:rPr>
          <w:rFonts w:asciiTheme="minorHAnsi" w:hAnsiTheme="minorHAnsi" w:cstheme="minorHAnsi"/>
          <w:b/>
          <w:sz w:val="26"/>
          <w:szCs w:val="26"/>
        </w:rPr>
        <w:t xml:space="preserve">The following edits have been made to Attachment </w:t>
      </w:r>
      <w:r w:rsidR="00FE55FC" w:rsidRPr="00F50326">
        <w:rPr>
          <w:rFonts w:asciiTheme="minorHAnsi" w:hAnsiTheme="minorHAnsi" w:cstheme="minorHAnsi"/>
          <w:b/>
          <w:sz w:val="26"/>
          <w:szCs w:val="26"/>
        </w:rPr>
        <w:t>F</w:t>
      </w:r>
      <w:r w:rsidRPr="00F50326">
        <w:rPr>
          <w:rFonts w:asciiTheme="minorHAnsi" w:hAnsiTheme="minorHAnsi" w:cstheme="minorHAnsi"/>
          <w:b/>
          <w:sz w:val="26"/>
          <w:szCs w:val="26"/>
        </w:rPr>
        <w:t xml:space="preserve">, </w:t>
      </w:r>
      <w:r w:rsidR="00FE55FC" w:rsidRPr="00F50326">
        <w:rPr>
          <w:rFonts w:asciiTheme="minorHAnsi" w:hAnsiTheme="minorHAnsi" w:cstheme="minorHAnsi"/>
          <w:b/>
          <w:sz w:val="26"/>
          <w:szCs w:val="26"/>
        </w:rPr>
        <w:t>Technical Proposal</w:t>
      </w:r>
      <w:r w:rsidRPr="00F50326">
        <w:rPr>
          <w:rFonts w:asciiTheme="minorHAnsi" w:hAnsiTheme="minorHAnsi" w:cstheme="minorHAnsi"/>
          <w:b/>
          <w:sz w:val="26"/>
          <w:szCs w:val="26"/>
        </w:rPr>
        <w:t>, Member Support Services – RFP #23-75072</w:t>
      </w:r>
    </w:p>
    <w:bookmarkEnd w:id="0"/>
    <w:p w14:paraId="5A973776" w14:textId="77777777" w:rsidR="00FE55FC" w:rsidRDefault="00FE55FC" w:rsidP="00974A80">
      <w:pPr>
        <w:rPr>
          <w:rFonts w:asciiTheme="minorHAnsi" w:hAnsiTheme="minorHAnsi" w:cstheme="minorHAnsi"/>
          <w:b/>
          <w:sz w:val="26"/>
          <w:szCs w:val="26"/>
        </w:rPr>
      </w:pPr>
    </w:p>
    <w:p w14:paraId="4ECC79FF" w14:textId="603630F1" w:rsidR="00FE55FC" w:rsidRPr="00A71615" w:rsidRDefault="00FE55FC" w:rsidP="00FE55FC">
      <w:pPr>
        <w:pStyle w:val="ListParagraph"/>
        <w:numPr>
          <w:ilvl w:val="0"/>
          <w:numId w:val="39"/>
        </w:numPr>
        <w:rPr>
          <w:rFonts w:asciiTheme="minorHAnsi" w:hAnsiTheme="minorHAnsi" w:cstheme="minorHAnsi"/>
          <w:b/>
          <w:sz w:val="26"/>
          <w:szCs w:val="26"/>
        </w:rPr>
      </w:pPr>
      <w:r>
        <w:rPr>
          <w:rFonts w:asciiTheme="minorHAnsi" w:hAnsiTheme="minorHAnsi" w:cstheme="minorHAnsi"/>
          <w:bCs/>
          <w:sz w:val="26"/>
          <w:szCs w:val="26"/>
        </w:rPr>
        <w:t>In section 5 – Grievances and Appeals, on page 4</w:t>
      </w:r>
      <w:r w:rsidR="00F50326">
        <w:rPr>
          <w:rFonts w:asciiTheme="minorHAnsi" w:hAnsiTheme="minorHAnsi" w:cstheme="minorHAnsi"/>
          <w:bCs/>
          <w:sz w:val="26"/>
          <w:szCs w:val="26"/>
        </w:rPr>
        <w:t>:</w:t>
      </w:r>
    </w:p>
    <w:p w14:paraId="4189F1DA" w14:textId="77777777" w:rsidR="00F50326" w:rsidRDefault="00F50326" w:rsidP="00F50326">
      <w:pPr>
        <w:pStyle w:val="ListParagraph"/>
        <w:widowControl/>
        <w:spacing w:line="276" w:lineRule="auto"/>
        <w:rPr>
          <w:rFonts w:ascii="Arial" w:eastAsia="Arial" w:hAnsi="Arial" w:cs="Arial"/>
          <w:sz w:val="22"/>
          <w:szCs w:val="22"/>
        </w:rPr>
      </w:pPr>
    </w:p>
    <w:p w14:paraId="59CD4AB7" w14:textId="64101242" w:rsidR="00A71615" w:rsidRPr="00F50326" w:rsidRDefault="00F50326" w:rsidP="00F50326">
      <w:pPr>
        <w:pStyle w:val="ListParagraph"/>
        <w:widowControl/>
        <w:spacing w:line="276" w:lineRule="auto"/>
        <w:rPr>
          <w:rFonts w:ascii="Arial" w:eastAsia="Arial" w:hAnsi="Arial" w:cs="Arial"/>
          <w:color w:val="000000"/>
          <w:sz w:val="22"/>
          <w:szCs w:val="22"/>
        </w:rPr>
      </w:pPr>
      <w:r w:rsidRPr="00F50326">
        <w:rPr>
          <w:rFonts w:ascii="Arial" w:eastAsia="Arial" w:hAnsi="Arial" w:cs="Arial"/>
          <w:sz w:val="22"/>
          <w:szCs w:val="22"/>
        </w:rPr>
        <w:t>Confirm your acceptance of the requirements in Section</w:t>
      </w:r>
      <w:r w:rsidRPr="00F50326">
        <w:rPr>
          <w:rFonts w:ascii="Arial" w:eastAsia="Arial" w:hAnsi="Arial" w:cs="Arial"/>
          <w:color w:val="000000"/>
          <w:sz w:val="22"/>
          <w:szCs w:val="22"/>
        </w:rPr>
        <w:t xml:space="preserve"> 2.</w:t>
      </w:r>
      <w:r w:rsidRPr="00F50326">
        <w:rPr>
          <w:rFonts w:ascii="Arial" w:eastAsia="Arial" w:hAnsi="Arial" w:cs="Arial"/>
          <w:strike/>
          <w:color w:val="FF0000"/>
          <w:sz w:val="22"/>
          <w:szCs w:val="22"/>
        </w:rPr>
        <w:t>2</w:t>
      </w:r>
      <w:r w:rsidRPr="00F50326">
        <w:rPr>
          <w:rFonts w:ascii="Arial" w:eastAsia="Arial" w:hAnsi="Arial" w:cs="Arial"/>
          <w:color w:val="FF0000"/>
          <w:sz w:val="22"/>
          <w:szCs w:val="22"/>
        </w:rPr>
        <w:t xml:space="preserve"> 3 </w:t>
      </w:r>
      <w:r w:rsidRPr="00F50326">
        <w:rPr>
          <w:rFonts w:ascii="Arial" w:eastAsia="Arial" w:hAnsi="Arial" w:cs="Arial"/>
          <w:color w:val="000000"/>
          <w:sz w:val="22"/>
          <w:szCs w:val="22"/>
        </w:rPr>
        <w:t>and p</w:t>
      </w:r>
      <w:r w:rsidRPr="00F50326">
        <w:rPr>
          <w:rFonts w:ascii="Arial" w:eastAsia="Arial" w:hAnsi="Arial" w:cs="Arial"/>
          <w:sz w:val="22"/>
          <w:szCs w:val="22"/>
        </w:rPr>
        <w:t>lease describe your approach to meeting all the requirements identified in the Section 2.</w:t>
      </w:r>
      <w:r w:rsidRPr="00F50326">
        <w:rPr>
          <w:rFonts w:ascii="Arial" w:eastAsia="Arial" w:hAnsi="Arial" w:cs="Arial"/>
          <w:strike/>
          <w:color w:val="FF0000"/>
          <w:sz w:val="22"/>
          <w:szCs w:val="22"/>
        </w:rPr>
        <w:t>2</w:t>
      </w:r>
      <w:r w:rsidRPr="00F50326">
        <w:rPr>
          <w:rFonts w:ascii="Arial" w:eastAsia="Arial" w:hAnsi="Arial" w:cs="Arial"/>
          <w:color w:val="FF0000"/>
          <w:sz w:val="22"/>
          <w:szCs w:val="22"/>
        </w:rPr>
        <w:t xml:space="preserve"> 3 </w:t>
      </w:r>
      <w:r w:rsidRPr="00F50326">
        <w:rPr>
          <w:rFonts w:ascii="Arial" w:eastAsia="Arial" w:hAnsi="Arial" w:cs="Arial"/>
          <w:sz w:val="22"/>
          <w:szCs w:val="22"/>
        </w:rPr>
        <w:t xml:space="preserve">of the Scope of Work. Specifically describe: </w:t>
      </w:r>
    </w:p>
    <w:p w14:paraId="73E1D24C" w14:textId="77777777" w:rsidR="00A71615" w:rsidRPr="00FE55FC" w:rsidRDefault="00A71615" w:rsidP="00F50326">
      <w:pPr>
        <w:widowControl/>
        <w:numPr>
          <w:ilvl w:val="0"/>
          <w:numId w:val="41"/>
        </w:numPr>
        <w:pBdr>
          <w:top w:val="nil"/>
          <w:left w:val="nil"/>
          <w:bottom w:val="nil"/>
          <w:right w:val="nil"/>
          <w:between w:val="nil"/>
        </w:pBdr>
        <w:spacing w:line="276" w:lineRule="auto"/>
        <w:rPr>
          <w:rFonts w:ascii="Arial" w:eastAsia="Arial" w:hAnsi="Arial" w:cs="Arial"/>
          <w:color w:val="000000"/>
          <w:sz w:val="22"/>
          <w:szCs w:val="22"/>
        </w:rPr>
      </w:pPr>
      <w:r w:rsidRPr="00FE55FC">
        <w:rPr>
          <w:rFonts w:ascii="Arial" w:eastAsia="Arial" w:hAnsi="Arial" w:cs="Arial"/>
          <w:color w:val="000000"/>
          <w:sz w:val="22"/>
          <w:szCs w:val="22"/>
        </w:rPr>
        <w:t>Your system and process for</w:t>
      </w:r>
      <w:r w:rsidRPr="00FE55FC">
        <w:rPr>
          <w:rFonts w:ascii="Arial" w:eastAsia="Arial" w:hAnsi="Arial" w:cs="Arial"/>
          <w:color w:val="FF0000"/>
          <w:sz w:val="22"/>
          <w:szCs w:val="22"/>
        </w:rPr>
        <w:t xml:space="preserve"> supporting members in navigating the Grievance and Appeals process</w:t>
      </w:r>
      <w:r w:rsidRPr="00FE55FC">
        <w:rPr>
          <w:rFonts w:ascii="Arial" w:eastAsia="Arial" w:hAnsi="Arial" w:cs="Arial"/>
          <w:color w:val="000000"/>
          <w:sz w:val="22"/>
          <w:szCs w:val="22"/>
        </w:rPr>
        <w:t xml:space="preserve"> </w:t>
      </w:r>
      <w:r w:rsidRPr="00FE55FC">
        <w:rPr>
          <w:rFonts w:ascii="Arial" w:eastAsia="Arial" w:hAnsi="Arial" w:cs="Arial"/>
          <w:strike/>
          <w:sz w:val="22"/>
          <w:szCs w:val="22"/>
        </w:rPr>
        <w:t>receiving and support the filing of grievances, and appeals</w:t>
      </w:r>
      <w:r w:rsidRPr="00FE55FC">
        <w:rPr>
          <w:rFonts w:ascii="Arial" w:eastAsia="Arial" w:hAnsi="Arial" w:cs="Arial"/>
          <w:color w:val="000000"/>
          <w:sz w:val="22"/>
          <w:szCs w:val="22"/>
        </w:rPr>
        <w:t>, including how your system ensures all policy and processing requirements are met. Denote any steps or plans related to providing education to members who are also enrolled in an aligned D-SNP and have access to unified grievances and appeals processes.</w:t>
      </w:r>
    </w:p>
    <w:p w14:paraId="459CB203" w14:textId="7BF75BA9" w:rsidR="00EA0C5E" w:rsidRDefault="00A71615" w:rsidP="00A71615">
      <w:pPr>
        <w:widowControl/>
        <w:numPr>
          <w:ilvl w:val="0"/>
          <w:numId w:val="41"/>
        </w:numPr>
        <w:pBdr>
          <w:top w:val="nil"/>
          <w:left w:val="nil"/>
          <w:bottom w:val="nil"/>
          <w:right w:val="nil"/>
          <w:between w:val="nil"/>
        </w:pBdr>
        <w:spacing w:after="160" w:line="276" w:lineRule="auto"/>
        <w:rPr>
          <w:rFonts w:ascii="Arial" w:eastAsia="Arial" w:hAnsi="Arial" w:cs="Arial"/>
          <w:color w:val="000000"/>
          <w:sz w:val="22"/>
          <w:szCs w:val="22"/>
        </w:rPr>
      </w:pPr>
      <w:r w:rsidRPr="00FE55FC">
        <w:rPr>
          <w:rFonts w:ascii="Arial" w:eastAsia="Arial" w:hAnsi="Arial" w:cs="Arial"/>
          <w:color w:val="000000"/>
          <w:sz w:val="22"/>
          <w:szCs w:val="22"/>
        </w:rPr>
        <w:t xml:space="preserve">How you will align or create seamless processes for supporting members with </w:t>
      </w:r>
      <w:r w:rsidRPr="00FE55FC">
        <w:rPr>
          <w:rFonts w:ascii="Arial" w:eastAsia="Arial" w:hAnsi="Arial" w:cs="Arial"/>
          <w:color w:val="FF0000"/>
          <w:sz w:val="22"/>
          <w:szCs w:val="22"/>
        </w:rPr>
        <w:t xml:space="preserve">navigating </w:t>
      </w:r>
      <w:r w:rsidRPr="00FE55FC">
        <w:rPr>
          <w:rFonts w:ascii="Arial" w:eastAsia="Arial" w:hAnsi="Arial" w:cs="Arial"/>
          <w:color w:val="000000"/>
          <w:sz w:val="22"/>
          <w:szCs w:val="22"/>
        </w:rPr>
        <w:t>their grievances and/or appeals.</w:t>
      </w:r>
    </w:p>
    <w:p w14:paraId="4719B8F6" w14:textId="77777777" w:rsidR="0077614F" w:rsidRPr="00F50326" w:rsidRDefault="0077614F" w:rsidP="0077614F">
      <w:pPr>
        <w:widowControl/>
        <w:pBdr>
          <w:top w:val="nil"/>
          <w:left w:val="nil"/>
          <w:bottom w:val="nil"/>
          <w:right w:val="nil"/>
          <w:between w:val="nil"/>
        </w:pBdr>
        <w:spacing w:after="160" w:line="276" w:lineRule="auto"/>
        <w:rPr>
          <w:rFonts w:ascii="Arial" w:eastAsia="Arial" w:hAnsi="Arial" w:cs="Arial"/>
          <w:color w:val="000000"/>
          <w:sz w:val="22"/>
          <w:szCs w:val="22"/>
        </w:rPr>
      </w:pPr>
    </w:p>
    <w:p w14:paraId="24E707EF" w14:textId="709775DB" w:rsidR="004F3C27" w:rsidRPr="00F50326" w:rsidRDefault="004F3C27" w:rsidP="00F50326">
      <w:pPr>
        <w:pStyle w:val="ListParagraph"/>
        <w:numPr>
          <w:ilvl w:val="0"/>
          <w:numId w:val="47"/>
        </w:numPr>
        <w:rPr>
          <w:rFonts w:asciiTheme="minorHAnsi" w:hAnsiTheme="minorHAnsi" w:cstheme="minorHAnsi"/>
          <w:b/>
          <w:sz w:val="26"/>
          <w:szCs w:val="26"/>
        </w:rPr>
      </w:pPr>
      <w:r w:rsidRPr="00F50326">
        <w:rPr>
          <w:rFonts w:asciiTheme="minorHAnsi" w:hAnsiTheme="minorHAnsi" w:cstheme="minorHAnsi"/>
          <w:b/>
          <w:sz w:val="26"/>
          <w:szCs w:val="26"/>
        </w:rPr>
        <w:t>The following edits have been made to Attachment H, Member Support Services – RFP #23-75072</w:t>
      </w:r>
    </w:p>
    <w:p w14:paraId="036595A2" w14:textId="77777777" w:rsidR="00721905" w:rsidRDefault="00721905" w:rsidP="00A71615">
      <w:pPr>
        <w:widowControl/>
        <w:pBdr>
          <w:top w:val="nil"/>
          <w:left w:val="nil"/>
          <w:bottom w:val="nil"/>
          <w:right w:val="nil"/>
          <w:between w:val="nil"/>
        </w:pBdr>
        <w:spacing w:after="160" w:line="276" w:lineRule="auto"/>
        <w:rPr>
          <w:rFonts w:ascii="Arial" w:eastAsia="Arial" w:hAnsi="Arial" w:cs="Arial"/>
          <w:color w:val="000000"/>
          <w:sz w:val="22"/>
          <w:szCs w:val="22"/>
        </w:rPr>
      </w:pPr>
    </w:p>
    <w:p w14:paraId="4943C528" w14:textId="09E7034A" w:rsidR="004F3C27" w:rsidRDefault="004F3C27" w:rsidP="004F3C27">
      <w:pPr>
        <w:pStyle w:val="ListParagraph"/>
        <w:widowControl/>
        <w:numPr>
          <w:ilvl w:val="0"/>
          <w:numId w:val="46"/>
        </w:numPr>
        <w:pBdr>
          <w:top w:val="nil"/>
          <w:left w:val="nil"/>
          <w:bottom w:val="nil"/>
          <w:right w:val="nil"/>
          <w:between w:val="nil"/>
        </w:pBdr>
        <w:spacing w:after="160" w:line="276" w:lineRule="auto"/>
        <w:rPr>
          <w:rFonts w:ascii="Arial" w:eastAsia="Arial" w:hAnsi="Arial" w:cs="Arial"/>
          <w:color w:val="000000"/>
          <w:sz w:val="22"/>
          <w:szCs w:val="22"/>
        </w:rPr>
      </w:pPr>
      <w:r>
        <w:rPr>
          <w:rFonts w:ascii="Arial" w:eastAsia="Arial" w:hAnsi="Arial" w:cs="Arial"/>
          <w:color w:val="000000"/>
          <w:sz w:val="22"/>
          <w:szCs w:val="22"/>
        </w:rPr>
        <w:t xml:space="preserve">On page 1, the </w:t>
      </w:r>
      <w:r w:rsidR="00EA0C5E">
        <w:rPr>
          <w:rFonts w:ascii="Arial" w:eastAsia="Arial" w:hAnsi="Arial" w:cs="Arial"/>
          <w:color w:val="000000"/>
          <w:sz w:val="22"/>
          <w:szCs w:val="22"/>
        </w:rPr>
        <w:t>S</w:t>
      </w:r>
      <w:r>
        <w:rPr>
          <w:rFonts w:ascii="Arial" w:eastAsia="Arial" w:hAnsi="Arial" w:cs="Arial"/>
          <w:color w:val="000000"/>
          <w:sz w:val="22"/>
          <w:szCs w:val="22"/>
        </w:rPr>
        <w:t>tate has removed the following language</w:t>
      </w:r>
      <w:r w:rsidR="0077614F">
        <w:rPr>
          <w:rFonts w:ascii="Arial" w:eastAsia="Arial" w:hAnsi="Arial" w:cs="Arial"/>
          <w:color w:val="000000"/>
          <w:sz w:val="22"/>
          <w:szCs w:val="22"/>
        </w:rPr>
        <w:t>:</w:t>
      </w:r>
    </w:p>
    <w:p w14:paraId="10462377" w14:textId="59D180B6" w:rsidR="004F3C27" w:rsidRPr="004F3C27" w:rsidRDefault="004F3C27" w:rsidP="00F50326">
      <w:pPr>
        <w:widowControl/>
        <w:pBdr>
          <w:top w:val="nil"/>
          <w:left w:val="nil"/>
          <w:bottom w:val="nil"/>
          <w:right w:val="nil"/>
          <w:between w:val="nil"/>
        </w:pBdr>
        <w:spacing w:after="160" w:line="276" w:lineRule="auto"/>
        <w:ind w:firstLine="360"/>
        <w:rPr>
          <w:rFonts w:ascii="Arial" w:eastAsia="Arial" w:hAnsi="Arial" w:cs="Arial"/>
          <w:color w:val="000000"/>
          <w:sz w:val="22"/>
          <w:szCs w:val="22"/>
        </w:rPr>
      </w:pPr>
      <w:r>
        <w:rPr>
          <w:noProof/>
        </w:rPr>
        <w:drawing>
          <wp:inline distT="0" distB="0" distL="0" distR="0" wp14:anchorId="291A6AA2" wp14:editId="5D3C2875">
            <wp:extent cx="5410200" cy="1496475"/>
            <wp:effectExtent l="0" t="0" r="0" b="8890"/>
            <wp:docPr id="4550258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025865" name=""/>
                    <pic:cNvPicPr/>
                  </pic:nvPicPr>
                  <pic:blipFill>
                    <a:blip r:embed="rId10"/>
                    <a:stretch>
                      <a:fillRect/>
                    </a:stretch>
                  </pic:blipFill>
                  <pic:spPr>
                    <a:xfrm>
                      <a:off x="0" y="0"/>
                      <a:ext cx="5427043" cy="1501134"/>
                    </a:xfrm>
                    <a:prstGeom prst="rect">
                      <a:avLst/>
                    </a:prstGeom>
                  </pic:spPr>
                </pic:pic>
              </a:graphicData>
            </a:graphic>
          </wp:inline>
        </w:drawing>
      </w:r>
    </w:p>
    <w:p w14:paraId="2C056EC4" w14:textId="6F0D2A9B" w:rsidR="00721905" w:rsidRPr="00F50326" w:rsidRDefault="00721905" w:rsidP="00F50326">
      <w:pPr>
        <w:pStyle w:val="ListParagraph"/>
        <w:numPr>
          <w:ilvl w:val="0"/>
          <w:numId w:val="47"/>
        </w:numPr>
        <w:rPr>
          <w:rFonts w:asciiTheme="minorHAnsi" w:hAnsiTheme="minorHAnsi" w:cstheme="minorHAnsi"/>
          <w:b/>
          <w:sz w:val="26"/>
          <w:szCs w:val="26"/>
        </w:rPr>
      </w:pPr>
      <w:r w:rsidRPr="00F50326">
        <w:rPr>
          <w:rFonts w:asciiTheme="minorHAnsi" w:hAnsiTheme="minorHAnsi" w:cstheme="minorHAnsi"/>
          <w:b/>
          <w:sz w:val="26"/>
          <w:szCs w:val="26"/>
        </w:rPr>
        <w:t xml:space="preserve">The following edits have been made to Attachment </w:t>
      </w:r>
      <w:r w:rsidR="00A71615" w:rsidRPr="00F50326">
        <w:rPr>
          <w:rFonts w:asciiTheme="minorHAnsi" w:hAnsiTheme="minorHAnsi" w:cstheme="minorHAnsi"/>
          <w:b/>
          <w:sz w:val="26"/>
          <w:szCs w:val="26"/>
        </w:rPr>
        <w:t>J</w:t>
      </w:r>
      <w:r w:rsidRPr="00F50326">
        <w:rPr>
          <w:rFonts w:asciiTheme="minorHAnsi" w:hAnsiTheme="minorHAnsi" w:cstheme="minorHAnsi"/>
          <w:b/>
          <w:sz w:val="26"/>
          <w:szCs w:val="26"/>
        </w:rPr>
        <w:t xml:space="preserve">, </w:t>
      </w:r>
      <w:r w:rsidR="00A71615" w:rsidRPr="00F50326">
        <w:rPr>
          <w:rFonts w:asciiTheme="minorHAnsi" w:hAnsiTheme="minorHAnsi" w:cstheme="minorHAnsi"/>
          <w:b/>
          <w:sz w:val="26"/>
          <w:szCs w:val="26"/>
        </w:rPr>
        <w:t>Attestation Form</w:t>
      </w:r>
      <w:r w:rsidRPr="00F50326">
        <w:rPr>
          <w:rFonts w:asciiTheme="minorHAnsi" w:hAnsiTheme="minorHAnsi" w:cstheme="minorHAnsi"/>
          <w:b/>
          <w:sz w:val="26"/>
          <w:szCs w:val="26"/>
        </w:rPr>
        <w:t>, Member Support Services – RFP #23-75072</w:t>
      </w:r>
    </w:p>
    <w:p w14:paraId="17E9F794" w14:textId="77777777" w:rsidR="00A71615" w:rsidRDefault="00A71615" w:rsidP="00721905">
      <w:pPr>
        <w:rPr>
          <w:rFonts w:asciiTheme="minorHAnsi" w:hAnsiTheme="minorHAnsi" w:cstheme="minorHAnsi"/>
          <w:b/>
          <w:sz w:val="26"/>
          <w:szCs w:val="26"/>
        </w:rPr>
      </w:pPr>
    </w:p>
    <w:p w14:paraId="73603836" w14:textId="1DFE204A" w:rsidR="00A71615" w:rsidRDefault="00A71615" w:rsidP="00A71615">
      <w:pPr>
        <w:pStyle w:val="ListParagraph"/>
        <w:numPr>
          <w:ilvl w:val="0"/>
          <w:numId w:val="45"/>
        </w:numPr>
        <w:rPr>
          <w:rFonts w:asciiTheme="minorHAnsi" w:hAnsiTheme="minorHAnsi" w:cstheme="minorHAnsi"/>
          <w:bCs/>
          <w:sz w:val="26"/>
          <w:szCs w:val="26"/>
        </w:rPr>
      </w:pPr>
      <w:r>
        <w:rPr>
          <w:rFonts w:asciiTheme="minorHAnsi" w:hAnsiTheme="minorHAnsi" w:cstheme="minorHAnsi"/>
          <w:bCs/>
          <w:sz w:val="26"/>
          <w:szCs w:val="26"/>
        </w:rPr>
        <w:t>On page 1</w:t>
      </w:r>
      <w:r w:rsidR="008F7F0C">
        <w:rPr>
          <w:rFonts w:asciiTheme="minorHAnsi" w:hAnsiTheme="minorHAnsi" w:cstheme="minorHAnsi"/>
          <w:bCs/>
          <w:sz w:val="26"/>
          <w:szCs w:val="26"/>
        </w:rPr>
        <w:t>,</w:t>
      </w:r>
      <w:r>
        <w:rPr>
          <w:rFonts w:asciiTheme="minorHAnsi" w:hAnsiTheme="minorHAnsi" w:cstheme="minorHAnsi"/>
          <w:bCs/>
          <w:sz w:val="26"/>
          <w:szCs w:val="26"/>
        </w:rPr>
        <w:t xml:space="preserve"> the </w:t>
      </w:r>
      <w:r w:rsidR="00FA1514">
        <w:rPr>
          <w:rFonts w:asciiTheme="minorHAnsi" w:hAnsiTheme="minorHAnsi" w:cstheme="minorHAnsi"/>
          <w:bCs/>
          <w:sz w:val="26"/>
          <w:szCs w:val="26"/>
        </w:rPr>
        <w:t>S</w:t>
      </w:r>
      <w:r>
        <w:rPr>
          <w:rFonts w:asciiTheme="minorHAnsi" w:hAnsiTheme="minorHAnsi" w:cstheme="minorHAnsi"/>
          <w:bCs/>
          <w:sz w:val="26"/>
          <w:szCs w:val="26"/>
        </w:rPr>
        <w:t>tate has</w:t>
      </w:r>
      <w:r w:rsidR="003032EF">
        <w:rPr>
          <w:rFonts w:asciiTheme="minorHAnsi" w:hAnsiTheme="minorHAnsi" w:cstheme="minorHAnsi"/>
          <w:bCs/>
          <w:sz w:val="26"/>
          <w:szCs w:val="26"/>
        </w:rPr>
        <w:t xml:space="preserve"> updated the section numbering</w:t>
      </w:r>
      <w:r w:rsidR="0077614F">
        <w:rPr>
          <w:rFonts w:asciiTheme="minorHAnsi" w:hAnsiTheme="minorHAnsi" w:cstheme="minorHAnsi"/>
          <w:bCs/>
          <w:sz w:val="26"/>
          <w:szCs w:val="26"/>
        </w:rPr>
        <w:t>:</w:t>
      </w:r>
    </w:p>
    <w:p w14:paraId="213A510E" w14:textId="77777777" w:rsidR="00A71615" w:rsidRDefault="00A71615" w:rsidP="00A71615">
      <w:pPr>
        <w:rPr>
          <w:rFonts w:asciiTheme="minorHAnsi" w:hAnsiTheme="minorHAnsi" w:cstheme="minorHAnsi"/>
          <w:bCs/>
          <w:sz w:val="26"/>
          <w:szCs w:val="26"/>
        </w:rPr>
      </w:pPr>
    </w:p>
    <w:p w14:paraId="47B035D4" w14:textId="149FE590" w:rsidR="00A71615" w:rsidRDefault="00CF7466" w:rsidP="00CF7466">
      <w:pPr>
        <w:ind w:firstLine="360"/>
        <w:rPr>
          <w:rFonts w:asciiTheme="minorHAnsi" w:hAnsiTheme="minorHAnsi" w:cstheme="minorHAnsi"/>
          <w:bCs/>
          <w:sz w:val="26"/>
          <w:szCs w:val="26"/>
        </w:rPr>
      </w:pPr>
      <w:r w:rsidRPr="00CF7466">
        <w:rPr>
          <w:noProof/>
        </w:rPr>
        <w:lastRenderedPageBreak/>
        <w:drawing>
          <wp:inline distT="0" distB="0" distL="0" distR="0" wp14:anchorId="553689A5" wp14:editId="64649F2A">
            <wp:extent cx="5682343" cy="635014"/>
            <wp:effectExtent l="0" t="0" r="0" b="0"/>
            <wp:docPr id="12319078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907874" name=""/>
                    <pic:cNvPicPr/>
                  </pic:nvPicPr>
                  <pic:blipFill>
                    <a:blip r:embed="rId11"/>
                    <a:stretch>
                      <a:fillRect/>
                    </a:stretch>
                  </pic:blipFill>
                  <pic:spPr>
                    <a:xfrm>
                      <a:off x="0" y="0"/>
                      <a:ext cx="5702401" cy="637256"/>
                    </a:xfrm>
                    <a:prstGeom prst="rect">
                      <a:avLst/>
                    </a:prstGeom>
                  </pic:spPr>
                </pic:pic>
              </a:graphicData>
            </a:graphic>
          </wp:inline>
        </w:drawing>
      </w:r>
    </w:p>
    <w:p w14:paraId="4F3AD4AD" w14:textId="77777777" w:rsidR="00035C56" w:rsidRDefault="00035C56" w:rsidP="00A71615">
      <w:pPr>
        <w:rPr>
          <w:rFonts w:asciiTheme="minorHAnsi" w:hAnsiTheme="minorHAnsi" w:cstheme="minorHAnsi"/>
          <w:bCs/>
          <w:sz w:val="26"/>
          <w:szCs w:val="26"/>
        </w:rPr>
      </w:pPr>
    </w:p>
    <w:p w14:paraId="58580748" w14:textId="77777777" w:rsidR="00035C56" w:rsidRPr="00A71615" w:rsidRDefault="00035C56" w:rsidP="00A71615">
      <w:pPr>
        <w:rPr>
          <w:rFonts w:asciiTheme="minorHAnsi" w:hAnsiTheme="minorHAnsi" w:cstheme="minorHAnsi"/>
          <w:bCs/>
          <w:sz w:val="26"/>
          <w:szCs w:val="26"/>
        </w:rPr>
      </w:pPr>
    </w:p>
    <w:p w14:paraId="276C50B4" w14:textId="77777777" w:rsidR="00035C56" w:rsidRPr="00F50326" w:rsidRDefault="00035C56" w:rsidP="00F50326">
      <w:pPr>
        <w:pStyle w:val="ListParagraph"/>
        <w:numPr>
          <w:ilvl w:val="0"/>
          <w:numId w:val="47"/>
        </w:numPr>
        <w:rPr>
          <w:rFonts w:asciiTheme="minorHAnsi" w:hAnsiTheme="minorHAnsi" w:cstheme="minorHAnsi"/>
          <w:b/>
          <w:sz w:val="26"/>
          <w:szCs w:val="26"/>
        </w:rPr>
      </w:pPr>
      <w:r w:rsidRPr="00F50326">
        <w:rPr>
          <w:rFonts w:asciiTheme="minorHAnsi" w:hAnsiTheme="minorHAnsi" w:cstheme="minorHAnsi"/>
          <w:b/>
          <w:sz w:val="26"/>
          <w:szCs w:val="26"/>
        </w:rPr>
        <w:t>The following edits have been made to Attachment K, Scope of Work, Member Support Services – RFP #23-75072</w:t>
      </w:r>
    </w:p>
    <w:p w14:paraId="0160DA64" w14:textId="77777777" w:rsidR="00035C56" w:rsidRDefault="00035C56" w:rsidP="00035C56">
      <w:pPr>
        <w:rPr>
          <w:rFonts w:asciiTheme="minorHAnsi" w:hAnsiTheme="minorHAnsi" w:cstheme="minorHAnsi"/>
          <w:b/>
          <w:sz w:val="26"/>
          <w:szCs w:val="26"/>
        </w:rPr>
      </w:pPr>
    </w:p>
    <w:p w14:paraId="7BA6EF5D" w14:textId="722E88C6" w:rsidR="00035C56" w:rsidRDefault="00035C56" w:rsidP="00035C56">
      <w:pPr>
        <w:pStyle w:val="ListParagraph"/>
        <w:numPr>
          <w:ilvl w:val="0"/>
          <w:numId w:val="34"/>
        </w:numPr>
        <w:rPr>
          <w:rFonts w:asciiTheme="minorHAnsi" w:hAnsiTheme="minorHAnsi" w:cstheme="minorHAnsi"/>
          <w:bCs/>
          <w:sz w:val="26"/>
          <w:szCs w:val="26"/>
        </w:rPr>
      </w:pPr>
      <w:r w:rsidRPr="0079214B">
        <w:rPr>
          <w:rFonts w:asciiTheme="minorHAnsi" w:hAnsiTheme="minorHAnsi" w:cstheme="minorHAnsi"/>
          <w:bCs/>
          <w:sz w:val="26"/>
          <w:szCs w:val="26"/>
        </w:rPr>
        <w:t>In section 1.2 – Timeline</w:t>
      </w:r>
      <w:r>
        <w:rPr>
          <w:rFonts w:asciiTheme="minorHAnsi" w:hAnsiTheme="minorHAnsi" w:cstheme="minorHAnsi"/>
          <w:bCs/>
          <w:sz w:val="26"/>
          <w:szCs w:val="26"/>
        </w:rPr>
        <w:t xml:space="preserve">, on page 2, the State has changed wording to clarify the </w:t>
      </w:r>
      <w:r w:rsidR="0077614F">
        <w:rPr>
          <w:rFonts w:asciiTheme="minorHAnsi" w:hAnsiTheme="minorHAnsi" w:cstheme="minorHAnsi"/>
          <w:bCs/>
          <w:sz w:val="26"/>
          <w:szCs w:val="26"/>
        </w:rPr>
        <w:t>onboarding and implementation</w:t>
      </w:r>
      <w:r>
        <w:rPr>
          <w:rFonts w:asciiTheme="minorHAnsi" w:hAnsiTheme="minorHAnsi" w:cstheme="minorHAnsi"/>
          <w:bCs/>
          <w:sz w:val="26"/>
          <w:szCs w:val="26"/>
        </w:rPr>
        <w:t xml:space="preserve"> timeline for the Member Support Services </w:t>
      </w:r>
      <w:r w:rsidR="0077614F">
        <w:rPr>
          <w:rFonts w:asciiTheme="minorHAnsi" w:hAnsiTheme="minorHAnsi" w:cstheme="minorHAnsi"/>
          <w:bCs/>
          <w:sz w:val="26"/>
          <w:szCs w:val="26"/>
        </w:rPr>
        <w:t>Contractor:</w:t>
      </w:r>
    </w:p>
    <w:p w14:paraId="4E39B61A" w14:textId="77777777" w:rsidR="00035C56" w:rsidRDefault="00035C56" w:rsidP="00035C56">
      <w:pPr>
        <w:pStyle w:val="ListParagraph"/>
        <w:rPr>
          <w:rFonts w:asciiTheme="minorHAnsi" w:hAnsiTheme="minorHAnsi" w:cstheme="minorHAnsi"/>
          <w:bCs/>
          <w:sz w:val="26"/>
          <w:szCs w:val="26"/>
        </w:rPr>
      </w:pPr>
    </w:p>
    <w:p w14:paraId="170BD771" w14:textId="05411216" w:rsidR="00035C56" w:rsidRPr="00712DE7" w:rsidRDefault="00035C56" w:rsidP="00035C56">
      <w:pPr>
        <w:widowControl/>
        <w:spacing w:line="276" w:lineRule="auto"/>
        <w:ind w:left="720"/>
        <w:rPr>
          <w:rFonts w:ascii="Arial" w:eastAsia="Arial" w:hAnsi="Arial" w:cs="Arial"/>
          <w:sz w:val="22"/>
          <w:szCs w:val="22"/>
          <w:lang w:val="en"/>
        </w:rPr>
      </w:pPr>
      <w:r w:rsidRPr="00712DE7">
        <w:rPr>
          <w:rFonts w:ascii="Arial" w:eastAsia="Arial" w:hAnsi="Arial" w:cs="Arial"/>
          <w:sz w:val="22"/>
          <w:szCs w:val="22"/>
          <w:lang w:val="en"/>
        </w:rPr>
        <w:t xml:space="preserve">FSSA will launch Pathways for Aging in summer 2024, and 2023 has been set aside for managed care entity (MCE) readiness review. The Contractor will begin onboarding with the State </w:t>
      </w:r>
      <w:r w:rsidRPr="00712DE7">
        <w:rPr>
          <w:rFonts w:ascii="Arial" w:eastAsia="Arial" w:hAnsi="Arial" w:cs="Arial"/>
          <w:strike/>
          <w:sz w:val="22"/>
          <w:szCs w:val="22"/>
          <w:lang w:val="en"/>
        </w:rPr>
        <w:t xml:space="preserve">in late 2023 or early </w:t>
      </w:r>
      <w:r w:rsidRPr="0077614F">
        <w:rPr>
          <w:rFonts w:ascii="Arial" w:eastAsia="Arial" w:hAnsi="Arial" w:cs="Arial"/>
          <w:strike/>
          <w:sz w:val="22"/>
          <w:szCs w:val="22"/>
          <w:lang w:val="en"/>
        </w:rPr>
        <w:t xml:space="preserve">2024 </w:t>
      </w:r>
      <w:r w:rsidRPr="00712DE7">
        <w:rPr>
          <w:rFonts w:ascii="Arial" w:eastAsia="Arial" w:hAnsi="Arial" w:cs="Arial"/>
          <w:color w:val="FF0000"/>
          <w:sz w:val="22"/>
          <w:szCs w:val="22"/>
          <w:lang w:val="en"/>
        </w:rPr>
        <w:t>no later than the beginning of January 2024</w:t>
      </w:r>
      <w:r w:rsidRPr="00712DE7">
        <w:rPr>
          <w:rFonts w:ascii="Arial" w:eastAsia="Arial" w:hAnsi="Arial" w:cs="Arial"/>
          <w:sz w:val="22"/>
          <w:szCs w:val="22"/>
          <w:lang w:val="en"/>
        </w:rPr>
        <w:t>. The Contractor must complete requirements gathering and systems and operational development sufficient to begin engagement in comprehensive transition activities and readiness, such as material development and public/member messaging, in the first quarter of 2024.</w:t>
      </w:r>
      <w:r w:rsidRPr="00712DE7">
        <w:rPr>
          <w:rFonts w:ascii="Arial" w:eastAsia="Arial" w:hAnsi="Arial" w:cs="Arial"/>
          <w:color w:val="FF0000"/>
          <w:sz w:val="22"/>
          <w:szCs w:val="22"/>
          <w:lang w:val="en"/>
        </w:rPr>
        <w:t xml:space="preserve"> Additionally, the Contractor must submit any member-facing material drafts to the State for review by the end of the first quarter of 2024.</w:t>
      </w:r>
      <w:r w:rsidRPr="00712DE7">
        <w:rPr>
          <w:rFonts w:ascii="Arial" w:eastAsia="Arial" w:hAnsi="Arial" w:cs="Arial"/>
          <w:sz w:val="22"/>
          <w:szCs w:val="22"/>
          <w:lang w:val="en"/>
        </w:rPr>
        <w:t xml:space="preserve"> The Contractor must be ready to begin </w:t>
      </w:r>
      <w:r w:rsidRPr="00712DE7">
        <w:rPr>
          <w:rFonts w:ascii="Arial" w:eastAsia="Arial" w:hAnsi="Arial" w:cs="Arial"/>
          <w:strike/>
          <w:sz w:val="22"/>
          <w:szCs w:val="22"/>
          <w:lang w:val="en"/>
        </w:rPr>
        <w:t>supporting</w:t>
      </w:r>
      <w:r w:rsidRPr="00712DE7">
        <w:rPr>
          <w:rFonts w:ascii="Arial" w:eastAsia="Arial" w:hAnsi="Arial" w:cs="Arial"/>
          <w:color w:val="FF0000"/>
          <w:sz w:val="22"/>
          <w:szCs w:val="22"/>
          <w:lang w:val="en"/>
        </w:rPr>
        <w:t xml:space="preserve"> </w:t>
      </w:r>
      <w:r w:rsidRPr="00712DE7">
        <w:rPr>
          <w:rFonts w:ascii="Arial" w:eastAsia="Arial" w:hAnsi="Arial" w:cs="Arial"/>
          <w:sz w:val="22"/>
          <w:szCs w:val="22"/>
          <w:lang w:val="en"/>
        </w:rPr>
        <w:t>member</w:t>
      </w:r>
      <w:r w:rsidRPr="00712DE7">
        <w:rPr>
          <w:rFonts w:ascii="Arial" w:eastAsia="Arial" w:hAnsi="Arial" w:cs="Arial"/>
          <w:color w:val="FF0000"/>
          <w:sz w:val="22"/>
          <w:szCs w:val="22"/>
          <w:lang w:val="en"/>
        </w:rPr>
        <w:t xml:space="preserve">-facing operations </w:t>
      </w:r>
      <w:r w:rsidRPr="00712DE7">
        <w:rPr>
          <w:rFonts w:ascii="Arial" w:eastAsia="Arial" w:hAnsi="Arial" w:cs="Arial"/>
          <w:sz w:val="22"/>
          <w:szCs w:val="22"/>
          <w:lang w:val="en"/>
        </w:rPr>
        <w:t xml:space="preserve">in </w:t>
      </w:r>
      <w:r w:rsidRPr="00712DE7">
        <w:rPr>
          <w:rFonts w:ascii="Arial" w:eastAsia="Arial" w:hAnsi="Arial" w:cs="Arial"/>
          <w:strike/>
          <w:sz w:val="22"/>
          <w:szCs w:val="22"/>
          <w:lang w:val="en"/>
        </w:rPr>
        <w:t>the late second quarter of 2024</w:t>
      </w:r>
      <w:r w:rsidRPr="00712DE7">
        <w:rPr>
          <w:rFonts w:ascii="Arial" w:eastAsia="Arial" w:hAnsi="Arial" w:cs="Arial"/>
          <w:color w:val="FF0000"/>
          <w:sz w:val="22"/>
          <w:szCs w:val="22"/>
          <w:lang w:val="en"/>
        </w:rPr>
        <w:t xml:space="preserve"> July 2024 upon </w:t>
      </w:r>
      <w:r w:rsidRPr="00712DE7">
        <w:rPr>
          <w:rFonts w:ascii="Arial" w:eastAsia="Arial" w:hAnsi="Arial" w:cs="Arial"/>
          <w:strike/>
          <w:sz w:val="22"/>
          <w:szCs w:val="22"/>
          <w:lang w:val="en"/>
        </w:rPr>
        <w:t>during the transition period of</w:t>
      </w:r>
      <w:r w:rsidRPr="00712DE7">
        <w:rPr>
          <w:rFonts w:ascii="Arial" w:eastAsia="Arial" w:hAnsi="Arial" w:cs="Arial"/>
          <w:sz w:val="22"/>
          <w:szCs w:val="22"/>
          <w:lang w:val="en"/>
        </w:rPr>
        <w:t xml:space="preserve"> Pathways for Aging program go-live, or as determined by the State.</w:t>
      </w:r>
    </w:p>
    <w:p w14:paraId="3C54D548" w14:textId="77777777" w:rsidR="00035C56" w:rsidRDefault="00035C56" w:rsidP="00035C56">
      <w:pPr>
        <w:pStyle w:val="ListParagraph"/>
        <w:rPr>
          <w:rFonts w:asciiTheme="minorHAnsi" w:hAnsiTheme="minorHAnsi" w:cstheme="minorHAnsi"/>
          <w:bCs/>
          <w:sz w:val="26"/>
          <w:szCs w:val="26"/>
        </w:rPr>
      </w:pPr>
    </w:p>
    <w:p w14:paraId="1D86ECB9" w14:textId="77777777" w:rsidR="00035C56" w:rsidRDefault="00035C56" w:rsidP="00035C56">
      <w:pPr>
        <w:pStyle w:val="ListParagraph"/>
        <w:rPr>
          <w:rFonts w:asciiTheme="minorHAnsi" w:hAnsiTheme="minorHAnsi" w:cstheme="minorHAnsi"/>
          <w:bCs/>
          <w:sz w:val="26"/>
          <w:szCs w:val="26"/>
        </w:rPr>
      </w:pPr>
    </w:p>
    <w:p w14:paraId="5C342635" w14:textId="77777777" w:rsidR="00035C56" w:rsidRDefault="00035C56" w:rsidP="00035C56">
      <w:pPr>
        <w:pStyle w:val="ListParagraph"/>
        <w:numPr>
          <w:ilvl w:val="0"/>
          <w:numId w:val="34"/>
        </w:numPr>
        <w:rPr>
          <w:rFonts w:asciiTheme="minorHAnsi" w:hAnsiTheme="minorHAnsi" w:cstheme="minorHAnsi"/>
          <w:bCs/>
          <w:sz w:val="26"/>
          <w:szCs w:val="26"/>
        </w:rPr>
      </w:pPr>
      <w:r>
        <w:rPr>
          <w:rFonts w:asciiTheme="minorHAnsi" w:hAnsiTheme="minorHAnsi" w:cstheme="minorHAnsi"/>
          <w:bCs/>
          <w:sz w:val="26"/>
          <w:szCs w:val="26"/>
        </w:rPr>
        <w:t>In section 2.2.4 – Member Issue Resolution, on page 8, the State has issued clarifying language around the role and expectations of the Contractor in the Grievance process.</w:t>
      </w:r>
    </w:p>
    <w:p w14:paraId="57AAB783" w14:textId="77777777" w:rsidR="00035C56" w:rsidRDefault="00035C56" w:rsidP="00035C56">
      <w:pPr>
        <w:rPr>
          <w:rFonts w:asciiTheme="minorHAnsi" w:hAnsiTheme="minorHAnsi" w:cstheme="minorHAnsi"/>
          <w:bCs/>
          <w:sz w:val="26"/>
          <w:szCs w:val="26"/>
        </w:rPr>
      </w:pPr>
    </w:p>
    <w:p w14:paraId="4B4F0AE2" w14:textId="77777777" w:rsidR="00035C56" w:rsidRPr="00712DE7" w:rsidRDefault="00035C56" w:rsidP="00035C56">
      <w:pPr>
        <w:widowControl/>
        <w:pBdr>
          <w:top w:val="nil"/>
          <w:left w:val="nil"/>
          <w:bottom w:val="nil"/>
          <w:right w:val="nil"/>
          <w:between w:val="nil"/>
        </w:pBdr>
        <w:spacing w:line="276" w:lineRule="auto"/>
        <w:ind w:left="720"/>
        <w:rPr>
          <w:rFonts w:ascii="Arial" w:eastAsia="Arial" w:hAnsi="Arial" w:cs="Arial"/>
          <w:sz w:val="22"/>
          <w:szCs w:val="22"/>
          <w:lang w:val="en"/>
        </w:rPr>
      </w:pPr>
      <w:r w:rsidRPr="00712DE7">
        <w:rPr>
          <w:rFonts w:ascii="Arial" w:eastAsia="Arial" w:hAnsi="Arial" w:cs="Arial"/>
          <w:color w:val="000000"/>
          <w:sz w:val="22"/>
          <w:szCs w:val="22"/>
          <w:lang w:val="en"/>
        </w:rPr>
        <w:t xml:space="preserve">The Contractor shall provide assistance in </w:t>
      </w:r>
      <w:r w:rsidRPr="00712DE7">
        <w:rPr>
          <w:rFonts w:ascii="Arial" w:eastAsia="Arial" w:hAnsi="Arial" w:cs="Arial"/>
          <w:strike/>
          <w:sz w:val="22"/>
          <w:szCs w:val="22"/>
          <w:lang w:val="en"/>
        </w:rPr>
        <w:t>filing Grievances</w:t>
      </w:r>
      <w:r w:rsidRPr="00712DE7">
        <w:rPr>
          <w:rFonts w:ascii="Arial" w:eastAsia="Arial" w:hAnsi="Arial" w:cs="Arial"/>
          <w:sz w:val="22"/>
          <w:szCs w:val="22"/>
          <w:lang w:val="en"/>
        </w:rPr>
        <w:t xml:space="preserve"> </w:t>
      </w:r>
      <w:r w:rsidRPr="00712DE7">
        <w:rPr>
          <w:rFonts w:ascii="Arial" w:eastAsia="Arial" w:hAnsi="Arial" w:cs="Arial"/>
          <w:color w:val="FF0000"/>
          <w:sz w:val="22"/>
          <w:szCs w:val="22"/>
          <w:lang w:val="en"/>
        </w:rPr>
        <w:t xml:space="preserve">navigating the Grievance process </w:t>
      </w:r>
      <w:r w:rsidRPr="00712DE7">
        <w:rPr>
          <w:rFonts w:ascii="Arial" w:eastAsia="Arial" w:hAnsi="Arial" w:cs="Arial"/>
          <w:color w:val="000000"/>
          <w:sz w:val="22"/>
          <w:szCs w:val="22"/>
          <w:lang w:val="en"/>
        </w:rPr>
        <w:t>when informal problem resolution proves unsuccessful or when otherwise requested by the Member (See Section 2.3 for Grievance and Appeals requirements). The Contractor shall not impede a member from filing a Grievance or Appeal before attempting to resolve an Issue if the member’s desire is to proceed directly with a Grievance or Appeal.</w:t>
      </w:r>
      <w:r w:rsidRPr="00712DE7">
        <w:rPr>
          <w:rFonts w:ascii="Arial" w:eastAsia="Arial" w:hAnsi="Arial" w:cs="Arial"/>
          <w:color w:val="FF0000"/>
          <w:sz w:val="22"/>
          <w:szCs w:val="22"/>
          <w:lang w:val="en"/>
        </w:rPr>
        <w:t xml:space="preserve"> The Contractor may not provide representation for the member at the State fair hearing in compliance with 42 CRF 438.810(b).</w:t>
      </w:r>
    </w:p>
    <w:p w14:paraId="32616854" w14:textId="77777777" w:rsidR="00035C56" w:rsidRDefault="00035C56" w:rsidP="00035C56">
      <w:pPr>
        <w:rPr>
          <w:rFonts w:asciiTheme="minorHAnsi" w:hAnsiTheme="minorHAnsi" w:cstheme="minorHAnsi"/>
          <w:bCs/>
          <w:sz w:val="26"/>
          <w:szCs w:val="26"/>
        </w:rPr>
      </w:pPr>
    </w:p>
    <w:p w14:paraId="5DEC2B64" w14:textId="77777777" w:rsidR="00035C56" w:rsidRPr="00712DE7" w:rsidRDefault="00035C56" w:rsidP="00035C56">
      <w:pPr>
        <w:rPr>
          <w:rFonts w:asciiTheme="minorHAnsi" w:hAnsiTheme="minorHAnsi" w:cstheme="minorHAnsi"/>
          <w:bCs/>
          <w:sz w:val="26"/>
          <w:szCs w:val="26"/>
        </w:rPr>
      </w:pPr>
    </w:p>
    <w:p w14:paraId="4849831B" w14:textId="7C5B1BD4" w:rsidR="00035C56" w:rsidRPr="006D6F5F" w:rsidRDefault="00035C56" w:rsidP="00035C56">
      <w:pPr>
        <w:pStyle w:val="ListParagraph"/>
        <w:numPr>
          <w:ilvl w:val="0"/>
          <w:numId w:val="34"/>
        </w:numPr>
        <w:rPr>
          <w:rFonts w:asciiTheme="minorHAnsi" w:hAnsiTheme="minorHAnsi" w:cstheme="minorHAnsi"/>
          <w:bCs/>
          <w:sz w:val="26"/>
          <w:szCs w:val="26"/>
        </w:rPr>
      </w:pPr>
      <w:r>
        <w:rPr>
          <w:rFonts w:asciiTheme="minorHAnsi" w:hAnsiTheme="minorHAnsi" w:cstheme="minorHAnsi"/>
          <w:bCs/>
          <w:sz w:val="26"/>
          <w:szCs w:val="26"/>
        </w:rPr>
        <w:t>In section 2.3 – Grievance and Appeals, on page 13</w:t>
      </w:r>
      <w:r w:rsidR="00C30764">
        <w:rPr>
          <w:rFonts w:asciiTheme="minorHAnsi" w:hAnsiTheme="minorHAnsi" w:cstheme="minorHAnsi"/>
          <w:bCs/>
          <w:sz w:val="26"/>
          <w:szCs w:val="26"/>
        </w:rPr>
        <w:t>:</w:t>
      </w:r>
    </w:p>
    <w:p w14:paraId="47376C3D" w14:textId="77777777" w:rsidR="00035C56" w:rsidRDefault="00035C56" w:rsidP="00035C56">
      <w:pPr>
        <w:rPr>
          <w:rFonts w:asciiTheme="minorHAnsi" w:hAnsiTheme="minorHAnsi" w:cstheme="minorHAnsi"/>
          <w:bCs/>
          <w:sz w:val="26"/>
          <w:szCs w:val="26"/>
        </w:rPr>
      </w:pPr>
    </w:p>
    <w:p w14:paraId="34403A4D" w14:textId="77777777" w:rsidR="00035C56" w:rsidRDefault="00035C56" w:rsidP="00035C56">
      <w:pPr>
        <w:spacing w:line="276" w:lineRule="auto"/>
        <w:ind w:left="720"/>
        <w:rPr>
          <w:rFonts w:ascii="Arial" w:eastAsia="Arial" w:hAnsi="Arial" w:cs="Arial"/>
          <w:sz w:val="22"/>
          <w:szCs w:val="22"/>
          <w:lang w:val="en"/>
        </w:rPr>
      </w:pPr>
      <w:r w:rsidRPr="006D6F5F">
        <w:rPr>
          <w:rFonts w:ascii="Arial" w:eastAsia="Arial" w:hAnsi="Arial" w:cs="Arial"/>
          <w:sz w:val="22"/>
          <w:szCs w:val="22"/>
          <w:lang w:val="en"/>
        </w:rPr>
        <w:t xml:space="preserve">The Contractor shall provide assistance, upon request, in navigating the Grievance and Appeal process, as well as appealing Adverse Benefit Determinations by the MCE to a </w:t>
      </w:r>
      <w:r w:rsidRPr="006D6F5F">
        <w:rPr>
          <w:rFonts w:ascii="Arial" w:eastAsia="Arial" w:hAnsi="Arial" w:cs="Arial"/>
          <w:sz w:val="22"/>
          <w:szCs w:val="22"/>
          <w:lang w:val="en"/>
        </w:rPr>
        <w:lastRenderedPageBreak/>
        <w:t xml:space="preserve">State Fair Hearing. The Contractor shall assist the member or the member’s family member, legal guardian, informal caregiver, Supported Decision Maker, and/or Authorized Representative (as applicable and/or determined by the member) with filing a Grievance or Appeal at the member’s request or responding to follow-up inquiries related to an Appeal or Grievance for which the member requests assistance. </w:t>
      </w:r>
      <w:r w:rsidRPr="006D6F5F">
        <w:rPr>
          <w:rFonts w:ascii="Arial" w:eastAsia="Arial" w:hAnsi="Arial" w:cs="Arial"/>
          <w:strike/>
          <w:sz w:val="22"/>
          <w:szCs w:val="22"/>
          <w:lang w:val="en"/>
        </w:rPr>
        <w:t>This includes, but is not limited to, writing and filing an Appeal on behalf of the member.</w:t>
      </w:r>
      <w:r w:rsidRPr="006D6F5F">
        <w:rPr>
          <w:rFonts w:ascii="Arial" w:eastAsia="Arial" w:hAnsi="Arial" w:cs="Arial"/>
          <w:sz w:val="22"/>
          <w:szCs w:val="22"/>
          <w:lang w:val="en"/>
        </w:rPr>
        <w:t xml:space="preserve">  As part of Grievance resolution, the member may request a warm hand-off to the MCE where the Contractor staff member continues to participate in the call to the extent requested by the member. The Contractor shall not provide representation to the member at a State Fair Hearing using funds from the Member Support Services Contract, but may refer the member to sources of legal representation.</w:t>
      </w:r>
    </w:p>
    <w:p w14:paraId="462DBE70" w14:textId="77777777" w:rsidR="00035C56" w:rsidRPr="006D6F5F" w:rsidRDefault="00035C56" w:rsidP="00035C56">
      <w:pPr>
        <w:rPr>
          <w:rFonts w:asciiTheme="minorHAnsi" w:hAnsiTheme="minorHAnsi" w:cstheme="minorHAnsi"/>
          <w:bCs/>
          <w:sz w:val="26"/>
          <w:szCs w:val="26"/>
        </w:rPr>
      </w:pPr>
    </w:p>
    <w:p w14:paraId="63EF9E69" w14:textId="77777777" w:rsidR="00035C56" w:rsidRDefault="00035C56" w:rsidP="00035C56">
      <w:pPr>
        <w:pStyle w:val="ListParagraph"/>
        <w:numPr>
          <w:ilvl w:val="0"/>
          <w:numId w:val="34"/>
        </w:numPr>
        <w:rPr>
          <w:rFonts w:asciiTheme="minorHAnsi" w:hAnsiTheme="minorHAnsi" w:cstheme="minorHAnsi"/>
          <w:bCs/>
          <w:sz w:val="26"/>
          <w:szCs w:val="26"/>
        </w:rPr>
      </w:pPr>
      <w:r w:rsidRPr="003032EF">
        <w:rPr>
          <w:rFonts w:asciiTheme="minorHAnsi" w:hAnsiTheme="minorHAnsi" w:cstheme="minorHAnsi"/>
          <w:bCs/>
          <w:sz w:val="26"/>
          <w:szCs w:val="26"/>
        </w:rPr>
        <w:t>In section 3 - Communications &amp; Helpline, on page 14</w:t>
      </w:r>
      <w:r>
        <w:rPr>
          <w:rFonts w:asciiTheme="minorHAnsi" w:hAnsiTheme="minorHAnsi" w:cstheme="minorHAnsi"/>
          <w:bCs/>
          <w:sz w:val="26"/>
          <w:szCs w:val="26"/>
        </w:rPr>
        <w:t>:</w:t>
      </w:r>
    </w:p>
    <w:p w14:paraId="7A9D062C" w14:textId="77777777" w:rsidR="00035C56" w:rsidRPr="003032EF" w:rsidRDefault="00035C56" w:rsidP="00035C56">
      <w:pPr>
        <w:pStyle w:val="ListParagraph"/>
        <w:rPr>
          <w:rFonts w:asciiTheme="minorHAnsi" w:hAnsiTheme="minorHAnsi" w:cstheme="minorHAnsi"/>
          <w:bCs/>
          <w:sz w:val="26"/>
          <w:szCs w:val="26"/>
        </w:rPr>
      </w:pPr>
    </w:p>
    <w:p w14:paraId="7502B2A1" w14:textId="77777777" w:rsidR="00035C56" w:rsidRPr="006D6F5F" w:rsidRDefault="00035C56" w:rsidP="00035C56">
      <w:pPr>
        <w:widowControl/>
        <w:spacing w:line="276" w:lineRule="auto"/>
        <w:ind w:left="720"/>
        <w:rPr>
          <w:rFonts w:ascii="Arial" w:eastAsia="Arial" w:hAnsi="Arial" w:cs="Arial"/>
          <w:sz w:val="22"/>
          <w:szCs w:val="22"/>
          <w:lang w:val="en"/>
        </w:rPr>
      </w:pPr>
      <w:r w:rsidRPr="006D6F5F">
        <w:rPr>
          <w:rFonts w:ascii="Arial" w:eastAsia="Arial" w:hAnsi="Arial" w:cs="Arial"/>
          <w:sz w:val="22"/>
          <w:szCs w:val="22"/>
          <w:lang w:val="en"/>
        </w:rPr>
        <w:t xml:space="preserve">The Contractor shall establish a service delivery structure that includes a hotline, a website, and e-mail access to Contractor program staff or volunteers (this can be through subcontract(s). The Contractor will maintain an email address through which members and </w:t>
      </w:r>
      <w:r w:rsidRPr="006D6F5F">
        <w:rPr>
          <w:rFonts w:ascii="Arial" w:eastAsia="Arial" w:hAnsi="Arial" w:cs="Arial"/>
          <w:color w:val="FF0000"/>
          <w:sz w:val="22"/>
          <w:szCs w:val="22"/>
          <w:lang w:val="en"/>
        </w:rPr>
        <w:t xml:space="preserve">legally authorized individuals, which may include </w:t>
      </w:r>
      <w:r w:rsidRPr="006D6F5F">
        <w:rPr>
          <w:rFonts w:ascii="Arial" w:eastAsia="Arial" w:hAnsi="Arial" w:cs="Arial"/>
          <w:sz w:val="22"/>
          <w:szCs w:val="22"/>
          <w:lang w:val="en"/>
        </w:rPr>
        <w:t>their family members, legal guardians, informal caregivers, Supported Decision Makers, and/or Authorized Representatives (as applicable and/or determined by the member), can submit electronic requests for information, advice, referrals, and direct assistance.</w:t>
      </w:r>
    </w:p>
    <w:p w14:paraId="215F62EB" w14:textId="77777777" w:rsidR="00035C56" w:rsidRPr="006D6F5F" w:rsidRDefault="00035C56" w:rsidP="00035C56">
      <w:pPr>
        <w:rPr>
          <w:rFonts w:asciiTheme="minorHAnsi" w:hAnsiTheme="minorHAnsi" w:cstheme="minorHAnsi"/>
          <w:bCs/>
          <w:sz w:val="26"/>
          <w:szCs w:val="26"/>
        </w:rPr>
      </w:pPr>
    </w:p>
    <w:p w14:paraId="63628944" w14:textId="77777777" w:rsidR="00035C56" w:rsidRDefault="00035C56" w:rsidP="00035C56">
      <w:pPr>
        <w:pStyle w:val="ListParagraph"/>
        <w:numPr>
          <w:ilvl w:val="0"/>
          <w:numId w:val="34"/>
        </w:numPr>
        <w:rPr>
          <w:rFonts w:asciiTheme="minorHAnsi" w:hAnsiTheme="minorHAnsi" w:cstheme="minorHAnsi"/>
          <w:bCs/>
          <w:sz w:val="26"/>
          <w:szCs w:val="26"/>
        </w:rPr>
      </w:pPr>
      <w:r>
        <w:rPr>
          <w:rFonts w:asciiTheme="minorHAnsi" w:hAnsiTheme="minorHAnsi" w:cstheme="minorHAnsi"/>
          <w:bCs/>
          <w:sz w:val="26"/>
          <w:szCs w:val="26"/>
        </w:rPr>
        <w:t>In section 3.1 – Methods of Interaction and In-person requirements, on page 14, the State has added the following language regarding timing requirements for the Contractor when scheduling in-person assistance visits.</w:t>
      </w:r>
    </w:p>
    <w:p w14:paraId="5638E2DF" w14:textId="77777777" w:rsidR="00035C56" w:rsidRDefault="00035C56" w:rsidP="00035C56">
      <w:pPr>
        <w:rPr>
          <w:rFonts w:asciiTheme="minorHAnsi" w:hAnsiTheme="minorHAnsi" w:cstheme="minorHAnsi"/>
          <w:bCs/>
          <w:sz w:val="26"/>
          <w:szCs w:val="26"/>
        </w:rPr>
      </w:pPr>
    </w:p>
    <w:p w14:paraId="5F6477CD" w14:textId="77777777" w:rsidR="00035C56" w:rsidRPr="006D6F5F" w:rsidRDefault="00035C56" w:rsidP="00035C56">
      <w:pPr>
        <w:widowControl/>
        <w:spacing w:line="276" w:lineRule="auto"/>
        <w:ind w:left="720"/>
        <w:rPr>
          <w:rFonts w:ascii="Arial" w:eastAsia="Arial" w:hAnsi="Arial" w:cs="Arial"/>
          <w:color w:val="FF0000"/>
          <w:sz w:val="22"/>
          <w:szCs w:val="22"/>
          <w:lang w:val="en"/>
        </w:rPr>
      </w:pPr>
      <w:r w:rsidRPr="006D6F5F">
        <w:rPr>
          <w:rFonts w:ascii="Arial" w:eastAsia="Arial" w:hAnsi="Arial" w:cs="Arial"/>
          <w:color w:val="FF0000"/>
          <w:sz w:val="22"/>
          <w:szCs w:val="22"/>
          <w:lang w:val="en"/>
        </w:rPr>
        <w:t>For members who request in-person assistance, the Contractor must schedule within three (3) days of the request for the meeting, and the scheduled meeting must be conducted within seven (7) days of scheduling unless the member is unavailable in this time period. If the member is unavailable within the prescribed timeframe, the Contractor shall meet with the member on the first mutually available date.</w:t>
      </w:r>
    </w:p>
    <w:p w14:paraId="4DE7B5A1" w14:textId="77777777" w:rsidR="00035C56" w:rsidRPr="006D6F5F" w:rsidRDefault="00035C56" w:rsidP="00035C56">
      <w:pPr>
        <w:rPr>
          <w:rFonts w:asciiTheme="minorHAnsi" w:hAnsiTheme="minorHAnsi" w:cstheme="minorHAnsi"/>
          <w:bCs/>
          <w:sz w:val="26"/>
          <w:szCs w:val="26"/>
        </w:rPr>
      </w:pPr>
    </w:p>
    <w:p w14:paraId="4D2FB961" w14:textId="27C3C00F" w:rsidR="00035C56" w:rsidRDefault="00035C56" w:rsidP="00035C56">
      <w:pPr>
        <w:pStyle w:val="ListParagraph"/>
        <w:numPr>
          <w:ilvl w:val="0"/>
          <w:numId w:val="34"/>
        </w:numPr>
        <w:rPr>
          <w:rFonts w:asciiTheme="minorHAnsi" w:hAnsiTheme="minorHAnsi" w:cstheme="minorHAnsi"/>
          <w:bCs/>
          <w:sz w:val="26"/>
          <w:szCs w:val="26"/>
        </w:rPr>
      </w:pPr>
      <w:r>
        <w:rPr>
          <w:rFonts w:asciiTheme="minorHAnsi" w:hAnsiTheme="minorHAnsi" w:cstheme="minorHAnsi"/>
          <w:bCs/>
          <w:sz w:val="26"/>
          <w:szCs w:val="26"/>
        </w:rPr>
        <w:t>In section 3.3 – Helpline, on page 16</w:t>
      </w:r>
      <w:r w:rsidR="00C30764">
        <w:rPr>
          <w:rFonts w:asciiTheme="minorHAnsi" w:hAnsiTheme="minorHAnsi" w:cstheme="minorHAnsi"/>
          <w:bCs/>
          <w:sz w:val="26"/>
          <w:szCs w:val="26"/>
        </w:rPr>
        <w:t>:</w:t>
      </w:r>
    </w:p>
    <w:p w14:paraId="3AE79A8D" w14:textId="77777777" w:rsidR="00035C56" w:rsidRDefault="00035C56" w:rsidP="00035C56">
      <w:pPr>
        <w:rPr>
          <w:rFonts w:asciiTheme="minorHAnsi" w:hAnsiTheme="minorHAnsi" w:cstheme="minorHAnsi"/>
          <w:bCs/>
          <w:sz w:val="26"/>
          <w:szCs w:val="26"/>
        </w:rPr>
      </w:pPr>
    </w:p>
    <w:p w14:paraId="6220E4AB" w14:textId="77777777" w:rsidR="00035C56" w:rsidRPr="006D6F5F" w:rsidRDefault="00035C56" w:rsidP="00035C56">
      <w:pPr>
        <w:widowControl/>
        <w:spacing w:line="276" w:lineRule="auto"/>
        <w:ind w:left="720"/>
        <w:rPr>
          <w:rFonts w:ascii="Arial" w:eastAsia="Arial" w:hAnsi="Arial" w:cs="Arial"/>
          <w:sz w:val="22"/>
          <w:szCs w:val="22"/>
          <w:lang w:val="en"/>
        </w:rPr>
      </w:pPr>
      <w:r w:rsidRPr="006D6F5F">
        <w:rPr>
          <w:rFonts w:ascii="Arial" w:eastAsia="Arial" w:hAnsi="Arial" w:cs="Arial"/>
          <w:sz w:val="22"/>
          <w:szCs w:val="22"/>
          <w:lang w:val="en"/>
        </w:rPr>
        <w:t xml:space="preserve">The Contractor will establish and maintain an accessible, culturally and linguistically competent helpline that will answer calls Monday-Friday from 8am – 8pm Eastern Time zone. The helpline must have voicemail or an answering service after hours. The helpline will be accessible through a statewide toll-free number, be staffed, and shall provide information and assistance to members and </w:t>
      </w:r>
      <w:r w:rsidRPr="006D6F5F">
        <w:rPr>
          <w:rFonts w:ascii="Arial" w:eastAsia="Arial" w:hAnsi="Arial" w:cs="Arial"/>
          <w:color w:val="FF0000"/>
          <w:sz w:val="22"/>
          <w:szCs w:val="22"/>
          <w:lang w:val="en"/>
        </w:rPr>
        <w:t xml:space="preserve">legally authorized individuals, which may include </w:t>
      </w:r>
      <w:r w:rsidRPr="006D6F5F">
        <w:rPr>
          <w:rFonts w:ascii="Arial" w:eastAsia="Arial" w:hAnsi="Arial" w:cs="Arial"/>
          <w:sz w:val="22"/>
          <w:szCs w:val="22"/>
          <w:lang w:val="en"/>
        </w:rPr>
        <w:t>their family members, legal guardians, informal caregivers, Supported Decision Makers, and/or Authorized Representatives (as applicable and/or determined by the member).</w:t>
      </w:r>
      <w:r w:rsidRPr="006D6F5F">
        <w:rPr>
          <w:rFonts w:ascii="Arial" w:eastAsia="Arial" w:hAnsi="Arial" w:cs="Arial"/>
          <w:color w:val="FF0000"/>
          <w:sz w:val="22"/>
          <w:szCs w:val="22"/>
          <w:lang w:val="en"/>
        </w:rPr>
        <w:t xml:space="preserve"> </w:t>
      </w:r>
      <w:r w:rsidRPr="006D6F5F">
        <w:rPr>
          <w:rFonts w:ascii="Arial" w:eastAsia="Arial" w:hAnsi="Arial" w:cs="Arial"/>
          <w:sz w:val="22"/>
          <w:szCs w:val="22"/>
          <w:lang w:val="en"/>
        </w:rPr>
        <w:t>The Contractor shall obtain a toll-free number within sixty (60) days of award. The helpline</w:t>
      </w:r>
      <w:r w:rsidRPr="006D6F5F">
        <w:rPr>
          <w:rFonts w:ascii="Arial" w:eastAsia="Arial" w:hAnsi="Arial" w:cs="Arial"/>
          <w:color w:val="FF0000"/>
          <w:sz w:val="22"/>
          <w:szCs w:val="22"/>
          <w:lang w:val="en"/>
        </w:rPr>
        <w:t xml:space="preserve">’s </w:t>
      </w:r>
      <w:r w:rsidRPr="006D6F5F">
        <w:rPr>
          <w:rFonts w:ascii="Arial" w:eastAsia="Arial" w:hAnsi="Arial" w:cs="Arial"/>
          <w:strike/>
          <w:sz w:val="22"/>
          <w:szCs w:val="22"/>
          <w:lang w:val="en"/>
        </w:rPr>
        <w:t>must have TTY access and its</w:t>
      </w:r>
      <w:r w:rsidRPr="006D6F5F">
        <w:rPr>
          <w:rFonts w:ascii="Arial" w:eastAsia="Arial" w:hAnsi="Arial" w:cs="Arial"/>
          <w:color w:val="FF0000"/>
          <w:sz w:val="22"/>
          <w:szCs w:val="22"/>
          <w:lang w:val="en"/>
        </w:rPr>
        <w:t xml:space="preserve"> </w:t>
      </w:r>
      <w:r w:rsidRPr="006D6F5F">
        <w:rPr>
          <w:rFonts w:ascii="Arial" w:eastAsia="Arial" w:hAnsi="Arial" w:cs="Arial"/>
          <w:sz w:val="22"/>
          <w:szCs w:val="22"/>
          <w:lang w:val="en"/>
        </w:rPr>
        <w:t xml:space="preserve">physical location must be located </w:t>
      </w:r>
      <w:r w:rsidRPr="006D6F5F">
        <w:rPr>
          <w:rFonts w:ascii="Arial" w:eastAsia="Arial" w:hAnsi="Arial" w:cs="Arial"/>
          <w:sz w:val="22"/>
          <w:szCs w:val="22"/>
          <w:lang w:val="en"/>
        </w:rPr>
        <w:lastRenderedPageBreak/>
        <w:t xml:space="preserve">within the state of Indiana. </w:t>
      </w:r>
      <w:r w:rsidRPr="006D6F5F">
        <w:rPr>
          <w:rFonts w:ascii="Arial" w:eastAsia="Arial" w:hAnsi="Arial" w:cs="Arial"/>
          <w:color w:val="FF0000"/>
          <w:sz w:val="22"/>
          <w:szCs w:val="22"/>
          <w:lang w:val="en"/>
        </w:rPr>
        <w:t xml:space="preserve">The Contractor does not have to possess or provide TDD or special communications equipment to Deaf or Hard of Hearing (D/HoH) individuals who call the Contractor's phone number for assistance; however, the Contractor must be able to accept and place calls through TRS providers, such as Relay Indiana, for D/HoH individuals who prefer to use TTY/TDD for their communication. For D/HoH individuals who express an interest in but do not possess special communications equipment (e.g., captioned telephones, TDD, TTY, TT), the Contractor must be able to refer D/HoH individuals to resources that can assist them with accessing equipment, including but not limited to CapTel providers and Relay Indiana. </w:t>
      </w:r>
      <w:r w:rsidRPr="006D6F5F">
        <w:rPr>
          <w:rFonts w:ascii="Arial" w:eastAsia="Arial" w:hAnsi="Arial" w:cs="Arial"/>
          <w:sz w:val="22"/>
          <w:szCs w:val="22"/>
          <w:lang w:val="en"/>
        </w:rPr>
        <w:t xml:space="preserve">The Contractor shall submit its helpline scripts to the State for review and approval during Implementation readiness.  </w:t>
      </w:r>
    </w:p>
    <w:p w14:paraId="20D52AAF" w14:textId="77777777" w:rsidR="00035C56" w:rsidRPr="006D6F5F" w:rsidRDefault="00035C56" w:rsidP="00035C56">
      <w:pPr>
        <w:rPr>
          <w:rFonts w:asciiTheme="minorHAnsi" w:hAnsiTheme="minorHAnsi" w:cstheme="minorHAnsi"/>
          <w:bCs/>
          <w:sz w:val="26"/>
          <w:szCs w:val="26"/>
        </w:rPr>
      </w:pPr>
    </w:p>
    <w:p w14:paraId="2CD34634" w14:textId="77777777" w:rsidR="00035C56" w:rsidRDefault="00035C56" w:rsidP="00035C56">
      <w:pPr>
        <w:pStyle w:val="ListParagraph"/>
        <w:numPr>
          <w:ilvl w:val="0"/>
          <w:numId w:val="34"/>
        </w:numPr>
        <w:rPr>
          <w:rFonts w:asciiTheme="minorHAnsi" w:hAnsiTheme="minorHAnsi" w:cstheme="minorHAnsi"/>
          <w:bCs/>
          <w:sz w:val="26"/>
          <w:szCs w:val="26"/>
        </w:rPr>
      </w:pPr>
      <w:r>
        <w:rPr>
          <w:rFonts w:asciiTheme="minorHAnsi" w:hAnsiTheme="minorHAnsi" w:cstheme="minorHAnsi"/>
          <w:bCs/>
          <w:sz w:val="26"/>
          <w:szCs w:val="26"/>
        </w:rPr>
        <w:t>In section 3.3.3 – Call Recording, on page 18, the State has changed wording to clarify call retention requirements for the Contractor.</w:t>
      </w:r>
    </w:p>
    <w:p w14:paraId="40390F6F" w14:textId="77777777" w:rsidR="00035C56" w:rsidRPr="00974A80" w:rsidRDefault="00035C56" w:rsidP="00035C56">
      <w:pPr>
        <w:widowControl/>
        <w:pBdr>
          <w:top w:val="nil"/>
          <w:left w:val="nil"/>
          <w:bottom w:val="nil"/>
          <w:right w:val="nil"/>
          <w:between w:val="nil"/>
        </w:pBdr>
        <w:spacing w:line="276" w:lineRule="auto"/>
        <w:rPr>
          <w:rFonts w:ascii="Arial" w:eastAsia="Arial" w:hAnsi="Arial" w:cs="Arial"/>
          <w:sz w:val="22"/>
          <w:szCs w:val="22"/>
          <w:lang w:val="en"/>
        </w:rPr>
      </w:pPr>
    </w:p>
    <w:p w14:paraId="6811E74B" w14:textId="77777777" w:rsidR="00035C56" w:rsidRPr="00974A80" w:rsidRDefault="00035C56" w:rsidP="00035C56">
      <w:pPr>
        <w:pStyle w:val="ListParagraph"/>
        <w:widowControl/>
        <w:numPr>
          <w:ilvl w:val="0"/>
          <w:numId w:val="38"/>
        </w:numPr>
        <w:pBdr>
          <w:top w:val="nil"/>
          <w:left w:val="nil"/>
          <w:bottom w:val="nil"/>
          <w:right w:val="nil"/>
          <w:between w:val="nil"/>
        </w:pBdr>
        <w:spacing w:line="276" w:lineRule="auto"/>
        <w:rPr>
          <w:rFonts w:ascii="Arial" w:eastAsia="Arial" w:hAnsi="Arial" w:cs="Arial"/>
          <w:sz w:val="22"/>
          <w:szCs w:val="22"/>
          <w:lang w:val="en"/>
        </w:rPr>
      </w:pPr>
      <w:r w:rsidRPr="00974A80">
        <w:rPr>
          <w:rFonts w:ascii="Arial" w:eastAsia="Arial" w:hAnsi="Arial" w:cs="Arial"/>
          <w:color w:val="000000"/>
          <w:sz w:val="22"/>
          <w:szCs w:val="22"/>
          <w:lang w:val="en"/>
        </w:rPr>
        <w:t xml:space="preserve">The Contractor must retain recordings of all calls </w:t>
      </w:r>
      <w:r w:rsidRPr="00974A80">
        <w:rPr>
          <w:rFonts w:ascii="Arial" w:eastAsia="Arial" w:hAnsi="Arial" w:cs="Arial"/>
          <w:color w:val="FF0000"/>
          <w:sz w:val="22"/>
          <w:szCs w:val="22"/>
          <w:lang w:val="en"/>
        </w:rPr>
        <w:t xml:space="preserve">for five (5) years after the member issue is resolved </w:t>
      </w:r>
      <w:r w:rsidRPr="00974A80">
        <w:rPr>
          <w:rFonts w:ascii="Arial" w:eastAsia="Arial" w:hAnsi="Arial" w:cs="Arial"/>
          <w:strike/>
          <w:sz w:val="22"/>
          <w:szCs w:val="22"/>
          <w:lang w:val="en"/>
        </w:rPr>
        <w:t>according to the record retention requirements specified in Attachment B – Sample Contract</w:t>
      </w:r>
      <w:r w:rsidRPr="00974A80">
        <w:rPr>
          <w:rFonts w:ascii="Arial" w:eastAsia="Arial" w:hAnsi="Arial" w:cs="Arial"/>
          <w:color w:val="000000"/>
          <w:sz w:val="22"/>
          <w:szCs w:val="22"/>
          <w:lang w:val="en"/>
        </w:rPr>
        <w:t>. The Contractor shall submit policies and procedures related to digitally recording and storing calls to the State within ninety (90) days of Contract Commencement.</w:t>
      </w:r>
    </w:p>
    <w:p w14:paraId="50EFE854" w14:textId="77777777" w:rsidR="00035C56" w:rsidRPr="00974A80" w:rsidRDefault="00035C56" w:rsidP="00035C56">
      <w:pPr>
        <w:rPr>
          <w:rFonts w:asciiTheme="minorHAnsi" w:hAnsiTheme="minorHAnsi" w:cstheme="minorHAnsi"/>
          <w:bCs/>
          <w:sz w:val="26"/>
          <w:szCs w:val="26"/>
        </w:rPr>
      </w:pPr>
    </w:p>
    <w:p w14:paraId="1EB0D222" w14:textId="77777777" w:rsidR="00035C56" w:rsidRDefault="00035C56" w:rsidP="00035C56">
      <w:pPr>
        <w:pStyle w:val="ListParagraph"/>
        <w:numPr>
          <w:ilvl w:val="0"/>
          <w:numId w:val="34"/>
        </w:numPr>
        <w:rPr>
          <w:rFonts w:asciiTheme="minorHAnsi" w:hAnsiTheme="minorHAnsi" w:cstheme="minorHAnsi"/>
          <w:bCs/>
          <w:sz w:val="26"/>
          <w:szCs w:val="26"/>
        </w:rPr>
      </w:pPr>
      <w:r>
        <w:rPr>
          <w:rFonts w:asciiTheme="minorHAnsi" w:hAnsiTheme="minorHAnsi" w:cstheme="minorHAnsi"/>
          <w:bCs/>
          <w:sz w:val="26"/>
          <w:szCs w:val="26"/>
        </w:rPr>
        <w:t>In section 5 – Technology Requirements, on page 24, the State has added language regarding disclosure requirements.</w:t>
      </w:r>
    </w:p>
    <w:p w14:paraId="007A203F" w14:textId="77777777" w:rsidR="00035C56" w:rsidRDefault="00035C56" w:rsidP="00035C56">
      <w:pPr>
        <w:rPr>
          <w:rFonts w:asciiTheme="minorHAnsi" w:hAnsiTheme="minorHAnsi" w:cstheme="minorHAnsi"/>
          <w:bCs/>
          <w:sz w:val="26"/>
          <w:szCs w:val="26"/>
        </w:rPr>
      </w:pPr>
    </w:p>
    <w:p w14:paraId="6833C5B6" w14:textId="77777777" w:rsidR="00035C56" w:rsidRPr="00974A80" w:rsidRDefault="00035C56" w:rsidP="00035C56">
      <w:pPr>
        <w:widowControl/>
        <w:spacing w:line="276" w:lineRule="auto"/>
        <w:ind w:left="720"/>
        <w:rPr>
          <w:rFonts w:ascii="Arial" w:eastAsia="Arial" w:hAnsi="Arial" w:cs="Arial"/>
          <w:color w:val="FF0000"/>
          <w:sz w:val="22"/>
          <w:szCs w:val="22"/>
          <w:lang w:val="en"/>
        </w:rPr>
      </w:pPr>
      <w:r w:rsidRPr="00974A80">
        <w:rPr>
          <w:rFonts w:ascii="Arial" w:eastAsia="Arial" w:hAnsi="Arial" w:cs="Arial"/>
          <w:color w:val="FF0000"/>
          <w:sz w:val="22"/>
          <w:szCs w:val="22"/>
          <w:lang w:val="en"/>
        </w:rPr>
        <w:t>Public Record. Unless deemed confidential or otherwise prohibited, documents submitted in response to this RFP may be subject to disclosure pursuant to the Access to Public Records Act (APRA), I.C. 5-14-3.</w:t>
      </w:r>
    </w:p>
    <w:p w14:paraId="71C8E063" w14:textId="77777777" w:rsidR="00035C56" w:rsidRPr="00974A80" w:rsidRDefault="00035C56" w:rsidP="00035C56">
      <w:pPr>
        <w:rPr>
          <w:rFonts w:asciiTheme="minorHAnsi" w:hAnsiTheme="minorHAnsi" w:cstheme="minorHAnsi"/>
          <w:bCs/>
          <w:sz w:val="26"/>
          <w:szCs w:val="26"/>
        </w:rPr>
      </w:pPr>
    </w:p>
    <w:p w14:paraId="42552948" w14:textId="77777777" w:rsidR="00035C56" w:rsidRDefault="00035C56" w:rsidP="00035C56">
      <w:pPr>
        <w:pStyle w:val="ListParagraph"/>
        <w:numPr>
          <w:ilvl w:val="0"/>
          <w:numId w:val="34"/>
        </w:numPr>
        <w:rPr>
          <w:rFonts w:asciiTheme="minorHAnsi" w:hAnsiTheme="minorHAnsi" w:cstheme="minorHAnsi"/>
          <w:bCs/>
          <w:sz w:val="26"/>
          <w:szCs w:val="26"/>
        </w:rPr>
      </w:pPr>
      <w:r>
        <w:rPr>
          <w:rFonts w:asciiTheme="minorHAnsi" w:hAnsiTheme="minorHAnsi" w:cstheme="minorHAnsi"/>
          <w:bCs/>
          <w:sz w:val="26"/>
          <w:szCs w:val="26"/>
        </w:rPr>
        <w:t>In section 11.2 – Readiness Review, on page 33, the State has changed wording to clarify Contractor readiness expectations.</w:t>
      </w:r>
    </w:p>
    <w:p w14:paraId="581D779C" w14:textId="77777777" w:rsidR="00035C56" w:rsidRDefault="00035C56" w:rsidP="00035C56">
      <w:pPr>
        <w:rPr>
          <w:rFonts w:asciiTheme="minorHAnsi" w:hAnsiTheme="minorHAnsi" w:cstheme="minorHAnsi"/>
          <w:bCs/>
          <w:sz w:val="26"/>
          <w:szCs w:val="26"/>
        </w:rPr>
      </w:pPr>
    </w:p>
    <w:p w14:paraId="7D828E4F" w14:textId="77777777" w:rsidR="00035C56" w:rsidRDefault="00035C56" w:rsidP="00035C56">
      <w:pPr>
        <w:widowControl/>
        <w:shd w:val="clear" w:color="auto" w:fill="FFFFFF"/>
        <w:spacing w:line="276" w:lineRule="auto"/>
        <w:ind w:left="720" w:right="480"/>
        <w:rPr>
          <w:rFonts w:ascii="Arial" w:eastAsia="Arial" w:hAnsi="Arial" w:cs="Arial"/>
          <w:sz w:val="22"/>
          <w:szCs w:val="22"/>
          <w:lang w:val="en"/>
        </w:rPr>
      </w:pPr>
      <w:r w:rsidRPr="00974A80">
        <w:rPr>
          <w:rFonts w:ascii="Arial" w:eastAsia="Arial" w:hAnsi="Arial" w:cs="Arial"/>
          <w:sz w:val="22"/>
          <w:szCs w:val="22"/>
          <w:lang w:val="en"/>
        </w:rPr>
        <w:t xml:space="preserve">If for any reason the Contractor does not pass the readiness review by the contract start date and there is a delay in the operational start date, the Contractor shall be subject to consequential damages and corrective actions as described in Section 16. The Contractor shall have an opportunity to make corrections within ninety (90) days of the effective date of the Contract and will be required, upon the State’s request, to submit documentation to the State that it has corrected the problem(s). If the Contractor is not ready to begin operations </w:t>
      </w:r>
      <w:r w:rsidRPr="00974A80">
        <w:rPr>
          <w:rFonts w:ascii="Arial" w:eastAsia="Arial" w:hAnsi="Arial" w:cs="Arial"/>
          <w:strike/>
          <w:sz w:val="22"/>
          <w:szCs w:val="22"/>
          <w:lang w:val="en"/>
        </w:rPr>
        <w:t xml:space="preserve">within ninety (90) days of the effective date of the </w:t>
      </w:r>
      <w:r w:rsidRPr="00C30764">
        <w:rPr>
          <w:rFonts w:ascii="Arial" w:eastAsia="Arial" w:hAnsi="Arial" w:cs="Arial"/>
          <w:strike/>
          <w:sz w:val="22"/>
          <w:szCs w:val="22"/>
          <w:lang w:val="en"/>
        </w:rPr>
        <w:t>Contract,</w:t>
      </w:r>
      <w:r w:rsidRPr="00974A80">
        <w:rPr>
          <w:rFonts w:ascii="Arial" w:eastAsia="Arial" w:hAnsi="Arial" w:cs="Arial"/>
          <w:color w:val="FF0000"/>
          <w:sz w:val="22"/>
          <w:szCs w:val="22"/>
          <w:lang w:val="en"/>
        </w:rPr>
        <w:t xml:space="preserve"> by the date of Pathways Go-Live, </w:t>
      </w:r>
      <w:r w:rsidRPr="00974A80">
        <w:rPr>
          <w:rFonts w:ascii="Arial" w:eastAsia="Arial" w:hAnsi="Arial" w:cs="Arial"/>
          <w:sz w:val="22"/>
          <w:szCs w:val="22"/>
          <w:lang w:val="en"/>
        </w:rPr>
        <w:t xml:space="preserve">the Contractor shall pay any costs the State may incur due to the delay and will be subject to sanctions as determined by the State. If the State identifies major deficiencies during the readiness review, the State may delay implementation until the Contractor adequately addresses the deficiencies or terminate the Contract if deemed by the State to be in the best interests of the State. </w:t>
      </w:r>
    </w:p>
    <w:p w14:paraId="159BB7C6" w14:textId="77777777" w:rsidR="00721905" w:rsidRDefault="00721905" w:rsidP="00FE55FC">
      <w:pPr>
        <w:widowControl/>
        <w:pBdr>
          <w:top w:val="nil"/>
          <w:left w:val="nil"/>
          <w:bottom w:val="nil"/>
          <w:right w:val="nil"/>
          <w:between w:val="nil"/>
        </w:pBdr>
        <w:spacing w:after="160" w:line="276" w:lineRule="auto"/>
        <w:rPr>
          <w:rFonts w:ascii="Arial" w:eastAsia="Arial" w:hAnsi="Arial" w:cs="Arial"/>
          <w:color w:val="000000"/>
          <w:sz w:val="22"/>
          <w:szCs w:val="22"/>
        </w:rPr>
      </w:pPr>
    </w:p>
    <w:p w14:paraId="1FCEE1C1" w14:textId="3A528EF3" w:rsidR="00FE55FC" w:rsidRPr="00F50326" w:rsidRDefault="00FE55FC" w:rsidP="00F50326">
      <w:pPr>
        <w:pStyle w:val="ListParagraph"/>
        <w:numPr>
          <w:ilvl w:val="0"/>
          <w:numId w:val="47"/>
        </w:numPr>
        <w:rPr>
          <w:rFonts w:asciiTheme="minorHAnsi" w:hAnsiTheme="minorHAnsi" w:cstheme="minorHAnsi"/>
          <w:b/>
          <w:sz w:val="26"/>
          <w:szCs w:val="26"/>
        </w:rPr>
      </w:pPr>
      <w:r w:rsidRPr="00F50326">
        <w:rPr>
          <w:rFonts w:asciiTheme="minorHAnsi" w:hAnsiTheme="minorHAnsi" w:cstheme="minorHAnsi"/>
          <w:b/>
          <w:sz w:val="26"/>
          <w:szCs w:val="26"/>
        </w:rPr>
        <w:t>The following edits have been made to Attachment L, Case Scenarios, Member Support Services – RFP #23-75072</w:t>
      </w:r>
    </w:p>
    <w:p w14:paraId="7A8E6FE3" w14:textId="77777777" w:rsidR="00721905" w:rsidRDefault="00721905" w:rsidP="00FE55FC">
      <w:pPr>
        <w:rPr>
          <w:rFonts w:asciiTheme="minorHAnsi" w:hAnsiTheme="minorHAnsi" w:cstheme="minorHAnsi"/>
          <w:b/>
          <w:sz w:val="26"/>
          <w:szCs w:val="26"/>
        </w:rPr>
      </w:pPr>
    </w:p>
    <w:p w14:paraId="01361BD5" w14:textId="715EB0CC" w:rsidR="00721905" w:rsidRDefault="002A7299" w:rsidP="00721905">
      <w:pPr>
        <w:pStyle w:val="ListParagraph"/>
        <w:numPr>
          <w:ilvl w:val="0"/>
          <w:numId w:val="42"/>
        </w:numPr>
        <w:rPr>
          <w:rFonts w:asciiTheme="minorHAnsi" w:hAnsiTheme="minorHAnsi" w:cstheme="minorHAnsi"/>
          <w:bCs/>
          <w:sz w:val="26"/>
          <w:szCs w:val="26"/>
        </w:rPr>
      </w:pPr>
      <w:r>
        <w:rPr>
          <w:rFonts w:asciiTheme="minorHAnsi" w:hAnsiTheme="minorHAnsi" w:cstheme="minorHAnsi"/>
          <w:bCs/>
          <w:sz w:val="26"/>
          <w:szCs w:val="26"/>
        </w:rPr>
        <w:t>For Scenario #1, on page 2:</w:t>
      </w:r>
    </w:p>
    <w:p w14:paraId="46CB1575" w14:textId="77777777" w:rsidR="00721905" w:rsidRDefault="00721905" w:rsidP="00721905">
      <w:pPr>
        <w:pStyle w:val="ListParagraph"/>
        <w:rPr>
          <w:rFonts w:asciiTheme="minorHAnsi" w:hAnsiTheme="minorHAnsi" w:cstheme="minorHAnsi"/>
          <w:bCs/>
          <w:sz w:val="26"/>
          <w:szCs w:val="26"/>
        </w:rPr>
      </w:pPr>
    </w:p>
    <w:p w14:paraId="00D74BF6" w14:textId="75BE409F" w:rsidR="00FE55FC" w:rsidRPr="002A7299" w:rsidRDefault="00CF7466" w:rsidP="002A7299">
      <w:pPr>
        <w:pStyle w:val="ListParagraph"/>
        <w:ind w:firstLine="720"/>
        <w:rPr>
          <w:rFonts w:asciiTheme="minorHAnsi" w:hAnsiTheme="minorHAnsi" w:cstheme="minorHAnsi"/>
          <w:bCs/>
          <w:sz w:val="26"/>
          <w:szCs w:val="26"/>
        </w:rPr>
      </w:pPr>
      <w:r w:rsidRPr="00CF7466">
        <w:rPr>
          <w:noProof/>
        </w:rPr>
        <w:drawing>
          <wp:inline distT="0" distB="0" distL="0" distR="0" wp14:anchorId="3A05CB7C" wp14:editId="790C97E0">
            <wp:extent cx="3948977" cy="3897086"/>
            <wp:effectExtent l="0" t="0" r="0" b="8255"/>
            <wp:docPr id="10308611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861132" name=""/>
                    <pic:cNvPicPr/>
                  </pic:nvPicPr>
                  <pic:blipFill>
                    <a:blip r:embed="rId12"/>
                    <a:stretch>
                      <a:fillRect/>
                    </a:stretch>
                  </pic:blipFill>
                  <pic:spPr>
                    <a:xfrm>
                      <a:off x="0" y="0"/>
                      <a:ext cx="3979027" cy="3926741"/>
                    </a:xfrm>
                    <a:prstGeom prst="rect">
                      <a:avLst/>
                    </a:prstGeom>
                  </pic:spPr>
                </pic:pic>
              </a:graphicData>
            </a:graphic>
          </wp:inline>
        </w:drawing>
      </w:r>
    </w:p>
    <w:p w14:paraId="060EE941" w14:textId="77777777" w:rsidR="002A7299" w:rsidRDefault="00CF7466" w:rsidP="002A7299">
      <w:pPr>
        <w:rPr>
          <w:rFonts w:asciiTheme="minorHAnsi" w:hAnsiTheme="minorHAnsi" w:cstheme="minorHAnsi"/>
          <w:b/>
          <w:sz w:val="26"/>
          <w:szCs w:val="26"/>
        </w:rPr>
      </w:pPr>
      <w:r>
        <w:rPr>
          <w:rFonts w:asciiTheme="minorHAnsi" w:hAnsiTheme="minorHAnsi" w:cstheme="minorHAnsi"/>
          <w:b/>
          <w:sz w:val="26"/>
          <w:szCs w:val="26"/>
        </w:rPr>
        <w:tab/>
      </w:r>
    </w:p>
    <w:p w14:paraId="0517054F" w14:textId="6A5A6CF2" w:rsidR="002A7299" w:rsidRDefault="002A7299" w:rsidP="002A7299">
      <w:pPr>
        <w:pStyle w:val="ListParagraph"/>
        <w:numPr>
          <w:ilvl w:val="0"/>
          <w:numId w:val="42"/>
        </w:numPr>
        <w:rPr>
          <w:rFonts w:asciiTheme="minorHAnsi" w:hAnsiTheme="minorHAnsi" w:cstheme="minorHAnsi"/>
          <w:bCs/>
          <w:sz w:val="26"/>
          <w:szCs w:val="26"/>
        </w:rPr>
      </w:pPr>
      <w:r>
        <w:rPr>
          <w:rFonts w:asciiTheme="minorHAnsi" w:hAnsiTheme="minorHAnsi" w:cstheme="minorHAnsi"/>
          <w:bCs/>
          <w:sz w:val="26"/>
          <w:szCs w:val="26"/>
        </w:rPr>
        <w:t>For Scenario #2, on page 3:</w:t>
      </w:r>
    </w:p>
    <w:p w14:paraId="2C725AC5" w14:textId="5F335EFF" w:rsidR="00FE55FC" w:rsidRPr="00FE55FC" w:rsidRDefault="00FE55FC" w:rsidP="00FE55FC">
      <w:pPr>
        <w:rPr>
          <w:rFonts w:asciiTheme="minorHAnsi" w:hAnsiTheme="minorHAnsi" w:cstheme="minorHAnsi"/>
          <w:b/>
          <w:sz w:val="26"/>
          <w:szCs w:val="26"/>
        </w:rPr>
      </w:pPr>
    </w:p>
    <w:p w14:paraId="49D96653" w14:textId="7480FCEF" w:rsidR="005F7068" w:rsidRDefault="00CF7466" w:rsidP="005F7068">
      <w:pPr>
        <w:rPr>
          <w:rFonts w:asciiTheme="minorHAnsi" w:hAnsiTheme="minorHAnsi" w:cstheme="minorHAnsi"/>
          <w:b/>
          <w:sz w:val="26"/>
          <w:szCs w:val="26"/>
        </w:rPr>
      </w:pPr>
      <w:r>
        <w:rPr>
          <w:rFonts w:asciiTheme="minorHAnsi" w:hAnsiTheme="minorHAnsi" w:cstheme="minorHAnsi"/>
          <w:b/>
          <w:sz w:val="26"/>
          <w:szCs w:val="26"/>
        </w:rPr>
        <w:tab/>
      </w:r>
      <w:r>
        <w:rPr>
          <w:rFonts w:asciiTheme="minorHAnsi" w:hAnsiTheme="minorHAnsi" w:cstheme="minorHAnsi"/>
          <w:b/>
          <w:sz w:val="26"/>
          <w:szCs w:val="26"/>
        </w:rPr>
        <w:tab/>
      </w:r>
      <w:r w:rsidR="002A7299" w:rsidRPr="002A7299">
        <w:rPr>
          <w:rFonts w:asciiTheme="minorHAnsi" w:hAnsiTheme="minorHAnsi" w:cstheme="minorHAnsi"/>
          <w:b/>
          <w:noProof/>
          <w:sz w:val="26"/>
          <w:szCs w:val="26"/>
        </w:rPr>
        <w:drawing>
          <wp:inline distT="0" distB="0" distL="0" distR="0" wp14:anchorId="137446A0" wp14:editId="02A1015F">
            <wp:extent cx="4032193" cy="2190997"/>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54864" cy="2203316"/>
                    </a:xfrm>
                    <a:prstGeom prst="rect">
                      <a:avLst/>
                    </a:prstGeom>
                  </pic:spPr>
                </pic:pic>
              </a:graphicData>
            </a:graphic>
          </wp:inline>
        </w:drawing>
      </w:r>
    </w:p>
    <w:sectPr w:rsidR="005F7068">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DC79A" w14:textId="77777777" w:rsidR="007A3EC4" w:rsidRDefault="007A3EC4" w:rsidP="00060BB4">
      <w:r>
        <w:separator/>
      </w:r>
    </w:p>
  </w:endnote>
  <w:endnote w:type="continuationSeparator" w:id="0">
    <w:p w14:paraId="58CAEE74" w14:textId="77777777" w:rsidR="007A3EC4" w:rsidRDefault="007A3EC4"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altName w:val="Cambria"/>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aramond" w:hAnsi="Garamond"/>
      </w:rPr>
      <w:id w:val="-302011890"/>
      <w:docPartObj>
        <w:docPartGallery w:val="Page Numbers (Bottom of Page)"/>
        <w:docPartUnique/>
      </w:docPartObj>
    </w:sdt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F8817" w14:textId="77777777" w:rsidR="007A3EC4" w:rsidRDefault="007A3EC4" w:rsidP="00060BB4">
      <w:r>
        <w:separator/>
      </w:r>
    </w:p>
  </w:footnote>
  <w:footnote w:type="continuationSeparator" w:id="0">
    <w:p w14:paraId="6B59F82D" w14:textId="77777777" w:rsidR="007A3EC4" w:rsidRDefault="007A3EC4"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973"/>
    <w:multiLevelType w:val="hybridMultilevel"/>
    <w:tmpl w:val="E7E002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0101D"/>
    <w:multiLevelType w:val="hybridMultilevel"/>
    <w:tmpl w:val="8654DC8C"/>
    <w:lvl w:ilvl="0" w:tplc="04090019">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62B70"/>
    <w:multiLevelType w:val="hybridMultilevel"/>
    <w:tmpl w:val="61B86A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464FA"/>
    <w:multiLevelType w:val="hybridMultilevel"/>
    <w:tmpl w:val="64A6CFB2"/>
    <w:lvl w:ilvl="0" w:tplc="84D6724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E07D83"/>
    <w:multiLevelType w:val="hybridMultilevel"/>
    <w:tmpl w:val="02F48EB4"/>
    <w:lvl w:ilvl="0" w:tplc="562AF4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DD4D54"/>
    <w:multiLevelType w:val="multilevel"/>
    <w:tmpl w:val="F916888C"/>
    <w:lvl w:ilvl="0">
      <w:start w:val="1"/>
      <w:numFmt w:val="lowerLetter"/>
      <w:lvlText w:val="%1."/>
      <w:lvlJc w:val="left"/>
      <w:pPr>
        <w:ind w:left="1080" w:hanging="360"/>
      </w:pPr>
      <w:rPr>
        <w:rFonts w:hint="default"/>
        <w:b w:val="0"/>
        <w:bCs w:val="0"/>
        <w:color w:val="000000"/>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9" w15:restartNumberingAfterBreak="0">
    <w:nsid w:val="21115043"/>
    <w:multiLevelType w:val="multilevel"/>
    <w:tmpl w:val="D0F29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0717C3"/>
    <w:multiLevelType w:val="multilevel"/>
    <w:tmpl w:val="AC4C7C2E"/>
    <w:lvl w:ilvl="0">
      <w:start w:val="1"/>
      <w:numFmt w:val="decimal"/>
      <w:lvlText w:val="%1."/>
      <w:lvlJc w:val="right"/>
      <w:pPr>
        <w:ind w:left="720" w:hanging="360"/>
      </w:pPr>
      <w:rPr>
        <w:u w:val="none"/>
      </w:rPr>
    </w:lvl>
    <w:lvl w:ilvl="1">
      <w:start w:val="1"/>
      <w:numFmt w:val="decimal"/>
      <w:lvlText w:val="%1.%2."/>
      <w:lvlJc w:val="right"/>
      <w:pPr>
        <w:ind w:left="1440" w:hanging="360"/>
      </w:pPr>
      <w:rPr>
        <w:b/>
        <w:u w:val="none"/>
      </w:rPr>
    </w:lvl>
    <w:lvl w:ilvl="2">
      <w:start w:val="1"/>
      <w:numFmt w:val="decimal"/>
      <w:lvlText w:val="%1.%2.%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1.%2.%3.●.○.%6."/>
      <w:lvlJc w:val="right"/>
      <w:pPr>
        <w:ind w:left="4320" w:hanging="360"/>
      </w:pPr>
      <w:rPr>
        <w:u w:val="none"/>
      </w:rPr>
    </w:lvl>
    <w:lvl w:ilvl="6">
      <w:start w:val="1"/>
      <w:numFmt w:val="decimal"/>
      <w:lvlText w:val="%1.%2.%3.●.○.%6.%7."/>
      <w:lvlJc w:val="right"/>
      <w:pPr>
        <w:ind w:left="5040" w:hanging="360"/>
      </w:pPr>
      <w:rPr>
        <w:u w:val="none"/>
      </w:rPr>
    </w:lvl>
    <w:lvl w:ilvl="7">
      <w:start w:val="1"/>
      <w:numFmt w:val="decimal"/>
      <w:lvlText w:val="%1.%2.%3.●.○.%6.%7.%8."/>
      <w:lvlJc w:val="right"/>
      <w:pPr>
        <w:ind w:left="5760" w:hanging="360"/>
      </w:pPr>
      <w:rPr>
        <w:u w:val="none"/>
      </w:rPr>
    </w:lvl>
    <w:lvl w:ilvl="8">
      <w:start w:val="1"/>
      <w:numFmt w:val="decimal"/>
      <w:lvlText w:val="%1.%2.%3.●.○.%6.%7.%8.%9."/>
      <w:lvlJc w:val="right"/>
      <w:pPr>
        <w:ind w:left="6480" w:hanging="360"/>
      </w:pPr>
      <w:rPr>
        <w:u w:val="none"/>
      </w:rPr>
    </w:lvl>
  </w:abstractNum>
  <w:abstractNum w:abstractNumId="14" w15:restartNumberingAfterBreak="0">
    <w:nsid w:val="34EB54F0"/>
    <w:multiLevelType w:val="hybridMultilevel"/>
    <w:tmpl w:val="83CC99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37289E"/>
    <w:multiLevelType w:val="hybridMultilevel"/>
    <w:tmpl w:val="F44A60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E37C6B"/>
    <w:multiLevelType w:val="hybridMultilevel"/>
    <w:tmpl w:val="E51E4FCE"/>
    <w:lvl w:ilvl="0" w:tplc="04090011">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805797"/>
    <w:multiLevelType w:val="multilevel"/>
    <w:tmpl w:val="1C8A3A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456162"/>
    <w:multiLevelType w:val="hybridMultilevel"/>
    <w:tmpl w:val="6B6680EE"/>
    <w:lvl w:ilvl="0" w:tplc="0409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465A21"/>
    <w:multiLevelType w:val="multilevel"/>
    <w:tmpl w:val="E208CBFA"/>
    <w:lvl w:ilvl="0">
      <w:start w:val="1"/>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25"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C52DB5"/>
    <w:multiLevelType w:val="hybridMultilevel"/>
    <w:tmpl w:val="8946A2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5513EE"/>
    <w:multiLevelType w:val="multilevel"/>
    <w:tmpl w:val="704CA5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7E1C79"/>
    <w:multiLevelType w:val="hybridMultilevel"/>
    <w:tmpl w:val="1026C89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92419"/>
    <w:multiLevelType w:val="hybridMultilevel"/>
    <w:tmpl w:val="3A94D1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1A13B1"/>
    <w:multiLevelType w:val="multilevel"/>
    <w:tmpl w:val="2494A8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5EC6E13"/>
    <w:multiLevelType w:val="hybridMultilevel"/>
    <w:tmpl w:val="F4BA42E8"/>
    <w:lvl w:ilvl="0" w:tplc="3D847E10">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0114C3"/>
    <w:multiLevelType w:val="hybridMultilevel"/>
    <w:tmpl w:val="7610DC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D17DC1"/>
    <w:multiLevelType w:val="multilevel"/>
    <w:tmpl w:val="A840157C"/>
    <w:lvl w:ilvl="0">
      <w:start w:val="2"/>
      <w:numFmt w:val="lowerLetter"/>
      <w:lvlText w:val="%1."/>
      <w:lvlJc w:val="left"/>
      <w:pPr>
        <w:ind w:left="1080" w:hanging="360"/>
      </w:pPr>
      <w:rPr>
        <w:rFonts w:hint="default"/>
        <w:b/>
        <w:bCs/>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382171400">
    <w:abstractNumId w:val="3"/>
  </w:num>
  <w:num w:numId="2" w16cid:durableId="118570462">
    <w:abstractNumId w:val="12"/>
  </w:num>
  <w:num w:numId="3" w16cid:durableId="1290013244">
    <w:abstractNumId w:val="22"/>
  </w:num>
  <w:num w:numId="4" w16cid:durableId="1099644887">
    <w:abstractNumId w:val="43"/>
  </w:num>
  <w:num w:numId="5" w16cid:durableId="102847660">
    <w:abstractNumId w:val="33"/>
  </w:num>
  <w:num w:numId="6" w16cid:durableId="1040282650">
    <w:abstractNumId w:val="27"/>
  </w:num>
  <w:num w:numId="7" w16cid:durableId="1170175955">
    <w:abstractNumId w:val="11"/>
  </w:num>
  <w:num w:numId="8" w16cid:durableId="151874736">
    <w:abstractNumId w:val="31"/>
  </w:num>
  <w:num w:numId="9" w16cid:durableId="1226338329">
    <w:abstractNumId w:val="36"/>
  </w:num>
  <w:num w:numId="10" w16cid:durableId="1485852444">
    <w:abstractNumId w:val="23"/>
  </w:num>
  <w:num w:numId="11" w16cid:durableId="524248899">
    <w:abstractNumId w:val="5"/>
  </w:num>
  <w:num w:numId="12" w16cid:durableId="229507168">
    <w:abstractNumId w:val="35"/>
  </w:num>
  <w:num w:numId="13" w16cid:durableId="229730656">
    <w:abstractNumId w:val="17"/>
  </w:num>
  <w:num w:numId="14" w16cid:durableId="523593982">
    <w:abstractNumId w:val="16"/>
  </w:num>
  <w:num w:numId="15" w16cid:durableId="1252007066">
    <w:abstractNumId w:val="29"/>
  </w:num>
  <w:num w:numId="16" w16cid:durableId="1833135341">
    <w:abstractNumId w:val="41"/>
  </w:num>
  <w:num w:numId="17" w16cid:durableId="1696883504">
    <w:abstractNumId w:val="26"/>
  </w:num>
  <w:num w:numId="18" w16cid:durableId="1223711056">
    <w:abstractNumId w:val="40"/>
  </w:num>
  <w:num w:numId="19" w16cid:durableId="853299506">
    <w:abstractNumId w:val="42"/>
  </w:num>
  <w:num w:numId="20" w16cid:durableId="952395820">
    <w:abstractNumId w:val="39"/>
  </w:num>
  <w:num w:numId="21" w16cid:durableId="1791900370">
    <w:abstractNumId w:val="20"/>
  </w:num>
  <w:num w:numId="22" w16cid:durableId="21252177">
    <w:abstractNumId w:val="4"/>
  </w:num>
  <w:num w:numId="23" w16cid:durableId="1619877595">
    <w:abstractNumId w:val="25"/>
  </w:num>
  <w:num w:numId="24" w16cid:durableId="1357656711">
    <w:abstractNumId w:val="10"/>
  </w:num>
  <w:num w:numId="25" w16cid:durableId="1684472269">
    <w:abstractNumId w:val="1"/>
  </w:num>
  <w:num w:numId="26" w16cid:durableId="484123838">
    <w:abstractNumId w:val="38"/>
  </w:num>
  <w:num w:numId="27" w16cid:durableId="152986956">
    <w:abstractNumId w:val="44"/>
  </w:num>
  <w:num w:numId="28" w16cid:durableId="2012178745">
    <w:abstractNumId w:val="24"/>
  </w:num>
  <w:num w:numId="29" w16cid:durableId="1607927452">
    <w:abstractNumId w:val="32"/>
  </w:num>
  <w:num w:numId="30" w16cid:durableId="1924023784">
    <w:abstractNumId w:val="38"/>
  </w:num>
  <w:num w:numId="31" w16cid:durableId="418336556">
    <w:abstractNumId w:val="6"/>
  </w:num>
  <w:num w:numId="32" w16cid:durableId="508984866">
    <w:abstractNumId w:val="15"/>
  </w:num>
  <w:num w:numId="33" w16cid:durableId="2120491189">
    <w:abstractNumId w:val="9"/>
  </w:num>
  <w:num w:numId="34" w16cid:durableId="2136364661">
    <w:abstractNumId w:val="28"/>
  </w:num>
  <w:num w:numId="35" w16cid:durableId="2110003752">
    <w:abstractNumId w:val="13"/>
  </w:num>
  <w:num w:numId="36" w16cid:durableId="640501998">
    <w:abstractNumId w:val="30"/>
  </w:num>
  <w:num w:numId="37" w16cid:durableId="1556232157">
    <w:abstractNumId w:val="34"/>
  </w:num>
  <w:num w:numId="38" w16cid:durableId="764108229">
    <w:abstractNumId w:val="7"/>
  </w:num>
  <w:num w:numId="39" w16cid:durableId="142086959">
    <w:abstractNumId w:val="18"/>
  </w:num>
  <w:num w:numId="40" w16cid:durableId="1340305567">
    <w:abstractNumId w:val="46"/>
  </w:num>
  <w:num w:numId="41" w16cid:durableId="1688603332">
    <w:abstractNumId w:val="8"/>
  </w:num>
  <w:num w:numId="42" w16cid:durableId="1556745870">
    <w:abstractNumId w:val="0"/>
  </w:num>
  <w:num w:numId="43" w16cid:durableId="964311626">
    <w:abstractNumId w:val="37"/>
  </w:num>
  <w:num w:numId="44" w16cid:durableId="1639800245">
    <w:abstractNumId w:val="19"/>
  </w:num>
  <w:num w:numId="45" w16cid:durableId="815144391">
    <w:abstractNumId w:val="2"/>
  </w:num>
  <w:num w:numId="46" w16cid:durableId="1175464227">
    <w:abstractNumId w:val="21"/>
  </w:num>
  <w:num w:numId="47" w16cid:durableId="2140756503">
    <w:abstractNumId w:val="45"/>
  </w:num>
  <w:num w:numId="48" w16cid:durableId="98994578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352A"/>
    <w:rsid w:val="00035C56"/>
    <w:rsid w:val="0005470C"/>
    <w:rsid w:val="00060BB4"/>
    <w:rsid w:val="000646B2"/>
    <w:rsid w:val="00075F2B"/>
    <w:rsid w:val="00081D9D"/>
    <w:rsid w:val="00082463"/>
    <w:rsid w:val="000837CB"/>
    <w:rsid w:val="000940E7"/>
    <w:rsid w:val="00095B70"/>
    <w:rsid w:val="000A04D2"/>
    <w:rsid w:val="000A10DF"/>
    <w:rsid w:val="000A7D9C"/>
    <w:rsid w:val="000B4232"/>
    <w:rsid w:val="000C5DAF"/>
    <w:rsid w:val="000D57C3"/>
    <w:rsid w:val="000F0ABB"/>
    <w:rsid w:val="000F468C"/>
    <w:rsid w:val="000F73DC"/>
    <w:rsid w:val="00101CB4"/>
    <w:rsid w:val="00103580"/>
    <w:rsid w:val="00106519"/>
    <w:rsid w:val="001213B8"/>
    <w:rsid w:val="00123B20"/>
    <w:rsid w:val="001240F0"/>
    <w:rsid w:val="001308D1"/>
    <w:rsid w:val="00134F97"/>
    <w:rsid w:val="00144AA9"/>
    <w:rsid w:val="00144B9D"/>
    <w:rsid w:val="001454F0"/>
    <w:rsid w:val="0015217C"/>
    <w:rsid w:val="001527C0"/>
    <w:rsid w:val="001540E2"/>
    <w:rsid w:val="00154952"/>
    <w:rsid w:val="00156D2F"/>
    <w:rsid w:val="00161B7D"/>
    <w:rsid w:val="00162632"/>
    <w:rsid w:val="00167492"/>
    <w:rsid w:val="00174EC5"/>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C7790"/>
    <w:rsid w:val="001D01A6"/>
    <w:rsid w:val="001D1A93"/>
    <w:rsid w:val="001D2186"/>
    <w:rsid w:val="001E35BD"/>
    <w:rsid w:val="001E627F"/>
    <w:rsid w:val="001F18CB"/>
    <w:rsid w:val="001F6629"/>
    <w:rsid w:val="001F7718"/>
    <w:rsid w:val="00200F0E"/>
    <w:rsid w:val="002019D0"/>
    <w:rsid w:val="00203600"/>
    <w:rsid w:val="0020666E"/>
    <w:rsid w:val="00215387"/>
    <w:rsid w:val="002229C0"/>
    <w:rsid w:val="00232311"/>
    <w:rsid w:val="0023240B"/>
    <w:rsid w:val="00241E63"/>
    <w:rsid w:val="00243186"/>
    <w:rsid w:val="00244769"/>
    <w:rsid w:val="002460A6"/>
    <w:rsid w:val="00247154"/>
    <w:rsid w:val="002500E9"/>
    <w:rsid w:val="002541DD"/>
    <w:rsid w:val="00257407"/>
    <w:rsid w:val="00260A26"/>
    <w:rsid w:val="002619EA"/>
    <w:rsid w:val="00263315"/>
    <w:rsid w:val="00271DC1"/>
    <w:rsid w:val="002744D6"/>
    <w:rsid w:val="0027478D"/>
    <w:rsid w:val="0027569F"/>
    <w:rsid w:val="00295B1C"/>
    <w:rsid w:val="002965DE"/>
    <w:rsid w:val="00297875"/>
    <w:rsid w:val="002A0B40"/>
    <w:rsid w:val="002A2EC2"/>
    <w:rsid w:val="002A71D7"/>
    <w:rsid w:val="002A7299"/>
    <w:rsid w:val="002B0553"/>
    <w:rsid w:val="002B2EB8"/>
    <w:rsid w:val="002B5733"/>
    <w:rsid w:val="002B7C07"/>
    <w:rsid w:val="002C092F"/>
    <w:rsid w:val="002C0F31"/>
    <w:rsid w:val="002E2F20"/>
    <w:rsid w:val="002E3DEE"/>
    <w:rsid w:val="002F0772"/>
    <w:rsid w:val="002F390B"/>
    <w:rsid w:val="002F7A99"/>
    <w:rsid w:val="00300062"/>
    <w:rsid w:val="003032EF"/>
    <w:rsid w:val="003129E7"/>
    <w:rsid w:val="00312C0A"/>
    <w:rsid w:val="0031315D"/>
    <w:rsid w:val="00313C9B"/>
    <w:rsid w:val="003177EF"/>
    <w:rsid w:val="0032472A"/>
    <w:rsid w:val="003251C6"/>
    <w:rsid w:val="00325593"/>
    <w:rsid w:val="003260D7"/>
    <w:rsid w:val="00330C90"/>
    <w:rsid w:val="0033364C"/>
    <w:rsid w:val="00340BFC"/>
    <w:rsid w:val="00344FB2"/>
    <w:rsid w:val="00346653"/>
    <w:rsid w:val="003679FC"/>
    <w:rsid w:val="00376D4F"/>
    <w:rsid w:val="003777C8"/>
    <w:rsid w:val="0039696E"/>
    <w:rsid w:val="003A11CD"/>
    <w:rsid w:val="003A16D8"/>
    <w:rsid w:val="003A361A"/>
    <w:rsid w:val="003A74BF"/>
    <w:rsid w:val="003B7A61"/>
    <w:rsid w:val="003C1AA7"/>
    <w:rsid w:val="003D356F"/>
    <w:rsid w:val="003E17F4"/>
    <w:rsid w:val="003E4B1C"/>
    <w:rsid w:val="003E7CC2"/>
    <w:rsid w:val="003F014D"/>
    <w:rsid w:val="003F26C2"/>
    <w:rsid w:val="00400115"/>
    <w:rsid w:val="00400676"/>
    <w:rsid w:val="0040792D"/>
    <w:rsid w:val="0041106C"/>
    <w:rsid w:val="00412EEC"/>
    <w:rsid w:val="00416DEA"/>
    <w:rsid w:val="004344C3"/>
    <w:rsid w:val="00437A2B"/>
    <w:rsid w:val="00443553"/>
    <w:rsid w:val="00444823"/>
    <w:rsid w:val="00456F09"/>
    <w:rsid w:val="00470E9A"/>
    <w:rsid w:val="0047100D"/>
    <w:rsid w:val="0047148F"/>
    <w:rsid w:val="00475EBF"/>
    <w:rsid w:val="004765B9"/>
    <w:rsid w:val="00476B4E"/>
    <w:rsid w:val="00476BE7"/>
    <w:rsid w:val="00496C13"/>
    <w:rsid w:val="00497633"/>
    <w:rsid w:val="004A317D"/>
    <w:rsid w:val="004A7E4A"/>
    <w:rsid w:val="004B18EE"/>
    <w:rsid w:val="004C48F2"/>
    <w:rsid w:val="004C5867"/>
    <w:rsid w:val="004D2BBF"/>
    <w:rsid w:val="004E16E1"/>
    <w:rsid w:val="004F1139"/>
    <w:rsid w:val="004F3C27"/>
    <w:rsid w:val="004F433C"/>
    <w:rsid w:val="004F7F72"/>
    <w:rsid w:val="005070C6"/>
    <w:rsid w:val="005118DF"/>
    <w:rsid w:val="00512C7E"/>
    <w:rsid w:val="00514137"/>
    <w:rsid w:val="005210B1"/>
    <w:rsid w:val="00523780"/>
    <w:rsid w:val="00523F29"/>
    <w:rsid w:val="00533B00"/>
    <w:rsid w:val="0053478C"/>
    <w:rsid w:val="00535903"/>
    <w:rsid w:val="00536491"/>
    <w:rsid w:val="00543962"/>
    <w:rsid w:val="005457D3"/>
    <w:rsid w:val="00553543"/>
    <w:rsid w:val="00562AE8"/>
    <w:rsid w:val="0056533F"/>
    <w:rsid w:val="00565DA1"/>
    <w:rsid w:val="0056651B"/>
    <w:rsid w:val="00586FD5"/>
    <w:rsid w:val="00594D59"/>
    <w:rsid w:val="00595E73"/>
    <w:rsid w:val="005A302A"/>
    <w:rsid w:val="005A40F5"/>
    <w:rsid w:val="005A5CF5"/>
    <w:rsid w:val="005B6CFB"/>
    <w:rsid w:val="005B7052"/>
    <w:rsid w:val="005C054E"/>
    <w:rsid w:val="005C0C47"/>
    <w:rsid w:val="005C21B3"/>
    <w:rsid w:val="005C77C5"/>
    <w:rsid w:val="005D08CE"/>
    <w:rsid w:val="005D2F90"/>
    <w:rsid w:val="005D6F03"/>
    <w:rsid w:val="005E172D"/>
    <w:rsid w:val="005E7642"/>
    <w:rsid w:val="005F50B6"/>
    <w:rsid w:val="005F7068"/>
    <w:rsid w:val="00607695"/>
    <w:rsid w:val="00613A98"/>
    <w:rsid w:val="00615270"/>
    <w:rsid w:val="006158A9"/>
    <w:rsid w:val="00620A4C"/>
    <w:rsid w:val="00622CB8"/>
    <w:rsid w:val="0063027F"/>
    <w:rsid w:val="006322D4"/>
    <w:rsid w:val="00633975"/>
    <w:rsid w:val="00635849"/>
    <w:rsid w:val="0064360D"/>
    <w:rsid w:val="006439AD"/>
    <w:rsid w:val="006444AE"/>
    <w:rsid w:val="00650F3B"/>
    <w:rsid w:val="00653151"/>
    <w:rsid w:val="00657B2B"/>
    <w:rsid w:val="0066127D"/>
    <w:rsid w:val="00662F54"/>
    <w:rsid w:val="00673C7F"/>
    <w:rsid w:val="006804C7"/>
    <w:rsid w:val="00681BBF"/>
    <w:rsid w:val="00683631"/>
    <w:rsid w:val="00692359"/>
    <w:rsid w:val="006A3818"/>
    <w:rsid w:val="006A5717"/>
    <w:rsid w:val="006A74E3"/>
    <w:rsid w:val="006B328D"/>
    <w:rsid w:val="006B69C9"/>
    <w:rsid w:val="006C265C"/>
    <w:rsid w:val="006D64D8"/>
    <w:rsid w:val="006D6F5F"/>
    <w:rsid w:val="006D7AD5"/>
    <w:rsid w:val="006E3FFA"/>
    <w:rsid w:val="006F0D0D"/>
    <w:rsid w:val="007067FA"/>
    <w:rsid w:val="0070694C"/>
    <w:rsid w:val="00712DE7"/>
    <w:rsid w:val="00714B07"/>
    <w:rsid w:val="00721905"/>
    <w:rsid w:val="00725193"/>
    <w:rsid w:val="00732AD9"/>
    <w:rsid w:val="00732B4D"/>
    <w:rsid w:val="007335EF"/>
    <w:rsid w:val="00737629"/>
    <w:rsid w:val="00743F8C"/>
    <w:rsid w:val="0075003D"/>
    <w:rsid w:val="00753979"/>
    <w:rsid w:val="00761D8B"/>
    <w:rsid w:val="007636B1"/>
    <w:rsid w:val="0077614F"/>
    <w:rsid w:val="00777D2F"/>
    <w:rsid w:val="00781AB9"/>
    <w:rsid w:val="00784EB0"/>
    <w:rsid w:val="00787B78"/>
    <w:rsid w:val="007905DB"/>
    <w:rsid w:val="0079095E"/>
    <w:rsid w:val="00791708"/>
    <w:rsid w:val="0079214B"/>
    <w:rsid w:val="007930A0"/>
    <w:rsid w:val="00794D18"/>
    <w:rsid w:val="007A3EC4"/>
    <w:rsid w:val="007A4510"/>
    <w:rsid w:val="007A460D"/>
    <w:rsid w:val="007A4808"/>
    <w:rsid w:val="007B04E3"/>
    <w:rsid w:val="007D71EA"/>
    <w:rsid w:val="007E3DC6"/>
    <w:rsid w:val="007E4E2D"/>
    <w:rsid w:val="007E53A7"/>
    <w:rsid w:val="007F1F89"/>
    <w:rsid w:val="007F69C9"/>
    <w:rsid w:val="00804892"/>
    <w:rsid w:val="00807E95"/>
    <w:rsid w:val="008104BC"/>
    <w:rsid w:val="00811751"/>
    <w:rsid w:val="00815DD1"/>
    <w:rsid w:val="0082013A"/>
    <w:rsid w:val="008202BA"/>
    <w:rsid w:val="00821E0A"/>
    <w:rsid w:val="0082420D"/>
    <w:rsid w:val="00825A99"/>
    <w:rsid w:val="008272FB"/>
    <w:rsid w:val="008315A1"/>
    <w:rsid w:val="00837979"/>
    <w:rsid w:val="00843ED3"/>
    <w:rsid w:val="00851D59"/>
    <w:rsid w:val="00854A99"/>
    <w:rsid w:val="00861327"/>
    <w:rsid w:val="00872542"/>
    <w:rsid w:val="00875F93"/>
    <w:rsid w:val="00884595"/>
    <w:rsid w:val="00891AC7"/>
    <w:rsid w:val="008A0C4E"/>
    <w:rsid w:val="008A2564"/>
    <w:rsid w:val="008B0440"/>
    <w:rsid w:val="008B20AC"/>
    <w:rsid w:val="008B494F"/>
    <w:rsid w:val="008D3C27"/>
    <w:rsid w:val="008D3DB6"/>
    <w:rsid w:val="008D671F"/>
    <w:rsid w:val="008E0B74"/>
    <w:rsid w:val="008E49DC"/>
    <w:rsid w:val="008F1AE6"/>
    <w:rsid w:val="008F4F06"/>
    <w:rsid w:val="008F7F0C"/>
    <w:rsid w:val="00901AA8"/>
    <w:rsid w:val="00916F02"/>
    <w:rsid w:val="00920494"/>
    <w:rsid w:val="009271CE"/>
    <w:rsid w:val="009325D0"/>
    <w:rsid w:val="00937BFD"/>
    <w:rsid w:val="009416AF"/>
    <w:rsid w:val="00942342"/>
    <w:rsid w:val="009430A1"/>
    <w:rsid w:val="00944C91"/>
    <w:rsid w:val="00947A1D"/>
    <w:rsid w:val="009503A3"/>
    <w:rsid w:val="00957B1C"/>
    <w:rsid w:val="00961284"/>
    <w:rsid w:val="00974A80"/>
    <w:rsid w:val="0098325A"/>
    <w:rsid w:val="00985338"/>
    <w:rsid w:val="00987B7B"/>
    <w:rsid w:val="009960AB"/>
    <w:rsid w:val="009968B2"/>
    <w:rsid w:val="009A3C73"/>
    <w:rsid w:val="009B04AD"/>
    <w:rsid w:val="009C5968"/>
    <w:rsid w:val="009C6327"/>
    <w:rsid w:val="009C71BB"/>
    <w:rsid w:val="009D7623"/>
    <w:rsid w:val="009E008B"/>
    <w:rsid w:val="009E05CB"/>
    <w:rsid w:val="009E5472"/>
    <w:rsid w:val="009E722C"/>
    <w:rsid w:val="009F07E4"/>
    <w:rsid w:val="009F2048"/>
    <w:rsid w:val="009F23AF"/>
    <w:rsid w:val="009F354A"/>
    <w:rsid w:val="00A01CC8"/>
    <w:rsid w:val="00A04AD0"/>
    <w:rsid w:val="00A11B49"/>
    <w:rsid w:val="00A17E6C"/>
    <w:rsid w:val="00A24F01"/>
    <w:rsid w:val="00A43845"/>
    <w:rsid w:val="00A44F50"/>
    <w:rsid w:val="00A517E7"/>
    <w:rsid w:val="00A53504"/>
    <w:rsid w:val="00A57A1B"/>
    <w:rsid w:val="00A6152C"/>
    <w:rsid w:val="00A615DB"/>
    <w:rsid w:val="00A61CD8"/>
    <w:rsid w:val="00A65D1E"/>
    <w:rsid w:val="00A71615"/>
    <w:rsid w:val="00A72461"/>
    <w:rsid w:val="00A813DB"/>
    <w:rsid w:val="00A9546B"/>
    <w:rsid w:val="00AA3445"/>
    <w:rsid w:val="00AA7172"/>
    <w:rsid w:val="00AA7836"/>
    <w:rsid w:val="00AB3FEE"/>
    <w:rsid w:val="00AC7D71"/>
    <w:rsid w:val="00AD3A64"/>
    <w:rsid w:val="00AE1250"/>
    <w:rsid w:val="00AE3728"/>
    <w:rsid w:val="00AE744F"/>
    <w:rsid w:val="00AF5397"/>
    <w:rsid w:val="00AF7A00"/>
    <w:rsid w:val="00B02BFF"/>
    <w:rsid w:val="00B05161"/>
    <w:rsid w:val="00B07568"/>
    <w:rsid w:val="00B109D6"/>
    <w:rsid w:val="00B1269C"/>
    <w:rsid w:val="00B127A8"/>
    <w:rsid w:val="00B1567C"/>
    <w:rsid w:val="00B21A2B"/>
    <w:rsid w:val="00B22950"/>
    <w:rsid w:val="00B253D0"/>
    <w:rsid w:val="00B25DBD"/>
    <w:rsid w:val="00B32B05"/>
    <w:rsid w:val="00B33320"/>
    <w:rsid w:val="00B40DC0"/>
    <w:rsid w:val="00B42CA4"/>
    <w:rsid w:val="00B44889"/>
    <w:rsid w:val="00B466C4"/>
    <w:rsid w:val="00B606D9"/>
    <w:rsid w:val="00B668BA"/>
    <w:rsid w:val="00B67C2D"/>
    <w:rsid w:val="00B76814"/>
    <w:rsid w:val="00B9535C"/>
    <w:rsid w:val="00BA2027"/>
    <w:rsid w:val="00BA3A05"/>
    <w:rsid w:val="00BB25F9"/>
    <w:rsid w:val="00BB772E"/>
    <w:rsid w:val="00BC0B57"/>
    <w:rsid w:val="00BC14A9"/>
    <w:rsid w:val="00BC32E4"/>
    <w:rsid w:val="00BC6AB1"/>
    <w:rsid w:val="00BC7E53"/>
    <w:rsid w:val="00BD4CB4"/>
    <w:rsid w:val="00BE018E"/>
    <w:rsid w:val="00BF0DD8"/>
    <w:rsid w:val="00C14A9E"/>
    <w:rsid w:val="00C17787"/>
    <w:rsid w:val="00C21519"/>
    <w:rsid w:val="00C263A8"/>
    <w:rsid w:val="00C30764"/>
    <w:rsid w:val="00C362AC"/>
    <w:rsid w:val="00C416C2"/>
    <w:rsid w:val="00C441BD"/>
    <w:rsid w:val="00C449D0"/>
    <w:rsid w:val="00C458DB"/>
    <w:rsid w:val="00C57FDB"/>
    <w:rsid w:val="00C6282C"/>
    <w:rsid w:val="00C62C6A"/>
    <w:rsid w:val="00C642F4"/>
    <w:rsid w:val="00C64CF4"/>
    <w:rsid w:val="00C66177"/>
    <w:rsid w:val="00C67CA9"/>
    <w:rsid w:val="00C72A02"/>
    <w:rsid w:val="00C75E9B"/>
    <w:rsid w:val="00C7618D"/>
    <w:rsid w:val="00C775B4"/>
    <w:rsid w:val="00C832A2"/>
    <w:rsid w:val="00C85F6C"/>
    <w:rsid w:val="00CA2221"/>
    <w:rsid w:val="00CA6994"/>
    <w:rsid w:val="00CB04EF"/>
    <w:rsid w:val="00CB26BB"/>
    <w:rsid w:val="00CC0986"/>
    <w:rsid w:val="00CC3CD9"/>
    <w:rsid w:val="00CF0BA9"/>
    <w:rsid w:val="00CF1176"/>
    <w:rsid w:val="00CF1A1A"/>
    <w:rsid w:val="00CF2F4F"/>
    <w:rsid w:val="00CF44ED"/>
    <w:rsid w:val="00CF7466"/>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63F2E"/>
    <w:rsid w:val="00D727B6"/>
    <w:rsid w:val="00D84C65"/>
    <w:rsid w:val="00D85559"/>
    <w:rsid w:val="00D85AAF"/>
    <w:rsid w:val="00D94379"/>
    <w:rsid w:val="00DA2634"/>
    <w:rsid w:val="00DA5844"/>
    <w:rsid w:val="00DB1432"/>
    <w:rsid w:val="00DC4457"/>
    <w:rsid w:val="00DD3FFC"/>
    <w:rsid w:val="00DD453D"/>
    <w:rsid w:val="00DE07FF"/>
    <w:rsid w:val="00DE1D2F"/>
    <w:rsid w:val="00DF0619"/>
    <w:rsid w:val="00DF314B"/>
    <w:rsid w:val="00E017B1"/>
    <w:rsid w:val="00E20B52"/>
    <w:rsid w:val="00E26C73"/>
    <w:rsid w:val="00E308AA"/>
    <w:rsid w:val="00E40143"/>
    <w:rsid w:val="00E5766C"/>
    <w:rsid w:val="00E57C21"/>
    <w:rsid w:val="00E60916"/>
    <w:rsid w:val="00E634AC"/>
    <w:rsid w:val="00E65444"/>
    <w:rsid w:val="00E71529"/>
    <w:rsid w:val="00E72E0A"/>
    <w:rsid w:val="00E740AC"/>
    <w:rsid w:val="00E746A8"/>
    <w:rsid w:val="00E75B09"/>
    <w:rsid w:val="00E7695F"/>
    <w:rsid w:val="00E76C5E"/>
    <w:rsid w:val="00E805D9"/>
    <w:rsid w:val="00E856C2"/>
    <w:rsid w:val="00E92EBF"/>
    <w:rsid w:val="00E93B8D"/>
    <w:rsid w:val="00EA0C5E"/>
    <w:rsid w:val="00EA107A"/>
    <w:rsid w:val="00EA1719"/>
    <w:rsid w:val="00EA2D82"/>
    <w:rsid w:val="00EA51C5"/>
    <w:rsid w:val="00EB5FB8"/>
    <w:rsid w:val="00EC43DD"/>
    <w:rsid w:val="00EC7212"/>
    <w:rsid w:val="00EC78BB"/>
    <w:rsid w:val="00ED0649"/>
    <w:rsid w:val="00ED1C30"/>
    <w:rsid w:val="00ED4171"/>
    <w:rsid w:val="00ED4C73"/>
    <w:rsid w:val="00ED6607"/>
    <w:rsid w:val="00EE01D9"/>
    <w:rsid w:val="00EE1D7C"/>
    <w:rsid w:val="00EE307E"/>
    <w:rsid w:val="00EE425F"/>
    <w:rsid w:val="00EF11D0"/>
    <w:rsid w:val="00EF2AD0"/>
    <w:rsid w:val="00EF4275"/>
    <w:rsid w:val="00EF69FC"/>
    <w:rsid w:val="00F027F0"/>
    <w:rsid w:val="00F04FEB"/>
    <w:rsid w:val="00F11304"/>
    <w:rsid w:val="00F14487"/>
    <w:rsid w:val="00F14ACB"/>
    <w:rsid w:val="00F1552F"/>
    <w:rsid w:val="00F20A31"/>
    <w:rsid w:val="00F22E93"/>
    <w:rsid w:val="00F2623D"/>
    <w:rsid w:val="00F27499"/>
    <w:rsid w:val="00F3033F"/>
    <w:rsid w:val="00F31EDA"/>
    <w:rsid w:val="00F33653"/>
    <w:rsid w:val="00F40717"/>
    <w:rsid w:val="00F4198E"/>
    <w:rsid w:val="00F42EFD"/>
    <w:rsid w:val="00F4343E"/>
    <w:rsid w:val="00F50326"/>
    <w:rsid w:val="00F52546"/>
    <w:rsid w:val="00F53D9B"/>
    <w:rsid w:val="00F57C2E"/>
    <w:rsid w:val="00F63A11"/>
    <w:rsid w:val="00F70E08"/>
    <w:rsid w:val="00F71A9E"/>
    <w:rsid w:val="00F72C95"/>
    <w:rsid w:val="00F831F9"/>
    <w:rsid w:val="00F833C8"/>
    <w:rsid w:val="00F87213"/>
    <w:rsid w:val="00F87C0B"/>
    <w:rsid w:val="00F87EAA"/>
    <w:rsid w:val="00F90C4D"/>
    <w:rsid w:val="00F91095"/>
    <w:rsid w:val="00F93E1F"/>
    <w:rsid w:val="00F97E51"/>
    <w:rsid w:val="00FA0B5C"/>
    <w:rsid w:val="00FA1514"/>
    <w:rsid w:val="00FA5CB0"/>
    <w:rsid w:val="00FC7181"/>
    <w:rsid w:val="00FD61A8"/>
    <w:rsid w:val="00FD6315"/>
    <w:rsid w:val="00FE55FC"/>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C27"/>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character" w:customStyle="1" w:styleId="markedcontent">
    <w:name w:val="markedcontent"/>
    <w:basedOn w:val="DefaultParagraphFont"/>
    <w:rsid w:val="00274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16039382">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1505</Words>
  <Characters>8584</Characters>
  <Application>Microsoft Office Word</Application>
  <DocSecurity>0</DocSecurity>
  <Lines>71</Lines>
  <Paragraphs>20</Paragraphs>
  <ScaleCrop>false</ScaleCrop>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2023-04-13T23:08:00Z</dcterms:created>
  <dcterms:modified xsi:type="dcterms:W3CDTF">2023-04-13T23:08:00Z</dcterms:modified>
</cp:coreProperties>
</file>